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用户需求书</w:t>
      </w:r>
    </w:p>
    <w:p>
      <w:pPr>
        <w:pStyle w:val="2"/>
        <w:spacing w:before="120" w:after="120"/>
      </w:pPr>
      <w:r>
        <w:rPr>
          <w:rFonts w:hint="eastAsia"/>
        </w:rPr>
        <w:t>项目背景</w:t>
      </w:r>
    </w:p>
    <w:p>
      <w:pPr>
        <w:spacing w:line="240" w:lineRule="auto"/>
        <w:ind w:firstLine="420" w:firstLineChars="200"/>
      </w:pPr>
      <w:r>
        <w:rPr>
          <w:rFonts w:hint="eastAsia"/>
        </w:rPr>
        <w:t xml:space="preserve">广东省妇幼保健院番禺院区数据中心位于医技楼7楼，于2011年建成投入使用。机房内共有机柜20余个，下送风精密空调三台，工频UPS三台。 </w:t>
      </w:r>
    </w:p>
    <w:p>
      <w:pPr>
        <w:spacing w:line="240" w:lineRule="auto"/>
        <w:ind w:firstLine="420" w:firstLineChars="200"/>
        <w:rPr>
          <w:rFonts w:hint="eastAsia"/>
        </w:rPr>
      </w:pPr>
      <w:r>
        <w:rPr>
          <w:rFonts w:hint="eastAsia"/>
        </w:rPr>
        <w:t>机房至今为止已经运行十余年，随着信息化建设的开展及业务的不断增长，机房内空间已经无法增加更多的机柜，现有设备150余台，机柜使用率已经超过90%，UPS也超过了目前的冗余负载，由于地板下空间限制，精密空调下送风空间有限，无法为未来高密度的负载提供更多的冷量，目前机房空间不能支持后期业务系统的扩容及安置。</w:t>
      </w:r>
    </w:p>
    <w:p>
      <w:pPr>
        <w:spacing w:line="240" w:lineRule="auto"/>
        <w:ind w:firstLine="420" w:firstLineChars="200"/>
        <w:rPr>
          <w:rFonts w:hint="eastAsia"/>
        </w:rPr>
      </w:pPr>
    </w:p>
    <w:p>
      <w:pPr>
        <w:pStyle w:val="2"/>
        <w:spacing w:before="120" w:after="120"/>
      </w:pPr>
      <w:r>
        <w:rPr>
          <w:rFonts w:hint="eastAsia"/>
        </w:rPr>
        <w:t>项目需求</w:t>
      </w:r>
    </w:p>
    <w:p>
      <w:pPr>
        <w:spacing w:line="240" w:lineRule="auto"/>
        <w:ind w:firstLine="420" w:firstLineChars="200"/>
      </w:pPr>
      <w:r>
        <w:rPr>
          <w:rFonts w:hint="eastAsia"/>
        </w:rPr>
        <w:t>广东省妇幼保健院番禺院区数据中心位于新院区大楼七层，区域总面积约60M²。大楼楼层层高约4.0M，梁下高约3.5M。承重约为每平方2吨，信息机房主要安装：服务器、存储、网络设备和安全设备。</w:t>
      </w:r>
    </w:p>
    <w:p>
      <w:pPr>
        <w:spacing w:line="240" w:lineRule="auto"/>
        <w:ind w:firstLine="420" w:firstLineChars="200"/>
      </w:pPr>
      <w:r>
        <w:rPr>
          <w:rFonts w:hint="eastAsia"/>
        </w:rPr>
        <w:t>根据平面图纸和主要设备的功能及系统之间的有机联系，机房布局思想简述如下：</w:t>
      </w:r>
    </w:p>
    <w:p>
      <w:pPr>
        <w:spacing w:line="240" w:lineRule="auto"/>
        <w:ind w:firstLine="420" w:firstLineChars="200"/>
      </w:pPr>
      <w:r>
        <w:rPr>
          <w:rFonts w:hint="eastAsia"/>
        </w:rPr>
        <w:t>1、计算机机房布局根据大楼建筑结构和承重能力，合理设计，不改变原建筑结构。</w:t>
      </w:r>
    </w:p>
    <w:p>
      <w:pPr>
        <w:spacing w:line="240" w:lineRule="auto"/>
        <w:ind w:firstLine="420" w:firstLineChars="200"/>
      </w:pPr>
      <w:r>
        <w:rPr>
          <w:rFonts w:hint="eastAsia"/>
        </w:rPr>
        <w:t>2、信息机房不改变原有布局，在原开门位置设置1个独立出口。</w:t>
      </w:r>
    </w:p>
    <w:p>
      <w:pPr>
        <w:spacing w:line="240" w:lineRule="auto"/>
        <w:ind w:firstLine="420" w:firstLineChars="200"/>
      </w:pPr>
      <w:r>
        <w:rPr>
          <w:rFonts w:hint="eastAsia"/>
        </w:rPr>
        <w:t>3、信息机房用精密空调制冷方案，采用列间水平送风空调，并在信息机房安装新风系统，保证室内空气清新。</w:t>
      </w:r>
    </w:p>
    <w:p>
      <w:pPr>
        <w:spacing w:line="240" w:lineRule="auto"/>
        <w:ind w:firstLine="420" w:firstLineChars="200"/>
      </w:pPr>
      <w:r>
        <w:rPr>
          <w:rFonts w:hint="eastAsia"/>
        </w:rPr>
        <w:t>4、机房内部采用一体化机柜冷通道的方案，设备集中安装在机柜冷通道内部，精密空调采用专用列间空调向封闭冷通道送风。</w:t>
      </w:r>
    </w:p>
    <w:p>
      <w:pPr>
        <w:spacing w:line="240" w:lineRule="auto"/>
        <w:ind w:firstLine="420" w:firstLineChars="200"/>
      </w:pPr>
      <w:r>
        <w:rPr>
          <w:rFonts w:hint="eastAsia"/>
        </w:rPr>
        <w:t>6、机房内强弱电采用上走线方式，外部线缆采用下走线方式进入数据中心，强电和弱电线槽分开敷设。</w:t>
      </w:r>
    </w:p>
    <w:p>
      <w:pPr>
        <w:spacing w:line="240" w:lineRule="auto"/>
        <w:ind w:firstLine="420" w:firstLineChars="200"/>
      </w:pPr>
      <w:r>
        <w:rPr>
          <w:rFonts w:hint="eastAsia"/>
        </w:rPr>
        <w:t>7、信息机房弱电及安全建设，解决现有网络架构难以支撑后续业务发展规划问题，建设范围包括：外网区域、内网区域。</w:t>
      </w:r>
    </w:p>
    <w:p/>
    <w:p>
      <w:pPr>
        <w:pStyle w:val="2"/>
        <w:spacing w:before="120" w:after="120"/>
      </w:pPr>
      <w:r>
        <w:rPr>
          <w:rFonts w:hint="eastAsia"/>
        </w:rPr>
        <w:t>机房平面布局</w:t>
      </w:r>
    </w:p>
    <w:p>
      <w:r>
        <w:rPr>
          <w:rFonts w:hint="eastAsia"/>
        </w:rPr>
        <w:t>机房平面如图所示：</w:t>
      </w:r>
    </w:p>
    <w:p>
      <w:r>
        <w:rPr>
          <w:rFonts w:hint="eastAsia"/>
        </w:rPr>
        <w:drawing>
          <wp:inline distT="0" distB="0" distL="0" distR="0">
            <wp:extent cx="5424805" cy="2003425"/>
            <wp:effectExtent l="0" t="0" r="4445" b="6350"/>
            <wp:docPr id="126106338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063389" name="图片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475611" cy="2022413"/>
                    </a:xfrm>
                    <a:prstGeom prst="rect">
                      <a:avLst/>
                    </a:prstGeom>
                    <a:noFill/>
                  </pic:spPr>
                </pic:pic>
              </a:graphicData>
            </a:graphic>
          </wp:inline>
        </w:drawing>
      </w:r>
    </w:p>
    <w:p>
      <w:pPr>
        <w:pStyle w:val="2"/>
        <w:spacing w:before="120" w:after="120"/>
      </w:pPr>
      <w:r>
        <w:rPr>
          <w:rFonts w:hint="eastAsia"/>
        </w:rPr>
        <w:t>机房要求</w:t>
      </w:r>
    </w:p>
    <w:p>
      <w:pPr>
        <w:pStyle w:val="5"/>
        <w:spacing w:before="120" w:after="120"/>
        <w:rPr>
          <w:rFonts w:hint="eastAsia"/>
        </w:rPr>
      </w:pPr>
      <w:r>
        <w:rPr>
          <w:rFonts w:hint="eastAsia"/>
        </w:rPr>
        <w:t>机房顶面</w:t>
      </w:r>
    </w:p>
    <w:p>
      <w:pPr>
        <w:spacing w:line="240" w:lineRule="auto"/>
        <w:ind w:firstLine="420" w:firstLineChars="200"/>
      </w:pPr>
      <w:r>
        <w:rPr>
          <w:rFonts w:hint="eastAsia"/>
        </w:rPr>
        <w:t>机房区域内选用铝合金微孔吸音板吊顶。机房区域室内净高不小于2800mm。</w:t>
      </w:r>
    </w:p>
    <w:p>
      <w:pPr>
        <w:spacing w:line="240" w:lineRule="auto"/>
        <w:ind w:firstLine="420" w:firstLineChars="200"/>
      </w:pPr>
      <w:r>
        <w:rPr>
          <w:rFonts w:hint="eastAsia"/>
        </w:rPr>
        <w:t>吊顶主龙骨采用50轻钢主龙骨（厚1.2），主龙骨吊杆采用8号丝杆，吊顶副龙骨采用条板专用副龙骨。</w:t>
      </w:r>
    </w:p>
    <w:p>
      <w:pPr>
        <w:spacing w:line="240" w:lineRule="auto"/>
        <w:ind w:firstLine="420" w:firstLineChars="200"/>
      </w:pPr>
      <w:r>
        <w:rPr>
          <w:rFonts w:hint="eastAsia"/>
        </w:rPr>
        <w:t>吊顶板规格：600*600*0.8mm、颜色乳白色、孔径Φ2.5、背面带防尘吸音纸。</w:t>
      </w:r>
    </w:p>
    <w:p>
      <w:pPr>
        <w:spacing w:line="240" w:lineRule="auto"/>
        <w:ind w:firstLine="420" w:firstLineChars="200"/>
      </w:pPr>
      <w:r>
        <w:rPr>
          <w:rFonts w:hint="eastAsia"/>
        </w:rPr>
        <w:t>吊顶收边线采用20mm白铝角线。</w:t>
      </w:r>
    </w:p>
    <w:p>
      <w:pPr>
        <w:spacing w:line="240" w:lineRule="auto"/>
        <w:ind w:firstLine="420" w:firstLineChars="200"/>
      </w:pPr>
      <w:r>
        <w:rPr>
          <w:rFonts w:hint="eastAsia"/>
        </w:rPr>
        <w:t>吊顶板安装要求：接缝要平整严密，行与行之间接缝要错开拼接。</w:t>
      </w:r>
    </w:p>
    <w:p>
      <w:pPr>
        <w:pStyle w:val="5"/>
        <w:spacing w:before="120" w:after="120"/>
        <w:rPr>
          <w:rFonts w:hint="eastAsia"/>
        </w:rPr>
      </w:pPr>
      <w:r>
        <w:rPr>
          <w:rFonts w:hint="eastAsia"/>
        </w:rPr>
        <w:t>墙面要求</w:t>
      </w:r>
    </w:p>
    <w:p>
      <w:pPr>
        <w:spacing w:line="240" w:lineRule="auto"/>
        <w:ind w:firstLine="420" w:firstLineChars="200"/>
      </w:pPr>
      <w:r>
        <w:rPr>
          <w:rFonts w:hint="eastAsia"/>
        </w:rPr>
        <w:t>机房区域内墙、柱面采用彩钢板饰面，踢脚板采用亚光材料制作。</w:t>
      </w:r>
    </w:p>
    <w:p>
      <w:pPr>
        <w:spacing w:line="240" w:lineRule="auto"/>
        <w:ind w:firstLine="420" w:firstLineChars="200"/>
      </w:pPr>
      <w:r>
        <w:rPr>
          <w:rFonts w:hint="eastAsia"/>
        </w:rPr>
        <w:t>彩钢板饰面采用</w:t>
      </w:r>
      <w:r>
        <w:t>75轻钢龙骨基层架。</w:t>
      </w:r>
    </w:p>
    <w:p>
      <w:pPr>
        <w:spacing w:line="240" w:lineRule="auto"/>
        <w:ind w:firstLine="420" w:firstLineChars="200"/>
      </w:pPr>
      <w:r>
        <w:rPr>
          <w:rFonts w:hint="eastAsia"/>
        </w:rPr>
        <w:t>彩钢板规格：宽</w:t>
      </w:r>
      <w:r>
        <w:t>1200×高2900×13mm厚。</w:t>
      </w:r>
    </w:p>
    <w:p>
      <w:pPr>
        <w:spacing w:line="240" w:lineRule="auto"/>
        <w:ind w:firstLine="420" w:firstLineChars="200"/>
      </w:pPr>
      <w:r>
        <w:rPr>
          <w:rFonts w:hint="eastAsia"/>
        </w:rPr>
        <w:t>彩钢板质量要求：静电烤漆喷涂，表面要平滑、细腻，不积尘，防火性能为</w:t>
      </w:r>
      <w:r>
        <w:t>A1级。面漆为醇酸氨基涂料，涂料本身要含有导电成分，通过增加导电系数，降低静电负荷。</w:t>
      </w:r>
    </w:p>
    <w:p>
      <w:pPr>
        <w:spacing w:line="240" w:lineRule="auto"/>
        <w:ind w:firstLine="420" w:firstLineChars="200"/>
      </w:pPr>
      <w:r>
        <w:rPr>
          <w:rFonts w:hint="eastAsia"/>
        </w:rPr>
        <w:t>彩钢板表面材质：热熔镀锌钢板SGCC（双面热熔镀锌80g/㎡）T≥0.8mm；具备良好的抗氧化性能和焊接性能。</w:t>
      </w:r>
    </w:p>
    <w:p>
      <w:pPr>
        <w:spacing w:line="240" w:lineRule="auto"/>
        <w:ind w:firstLine="420" w:firstLineChars="200"/>
      </w:pPr>
      <w:r>
        <w:rPr>
          <w:rFonts w:hint="eastAsia"/>
        </w:rPr>
        <w:t>彩钢板防火性能：按照GB8624-2012判定达到A1 （不燃性）级（须获得型式检验）；满足GB50174-2008《电子信息系统机房设计规范》中对电子计算机机房墙面材料的要求。</w:t>
      </w:r>
    </w:p>
    <w:p>
      <w:pPr>
        <w:pStyle w:val="5"/>
        <w:spacing w:before="120" w:after="120"/>
        <w:rPr>
          <w:rFonts w:hint="eastAsia"/>
        </w:rPr>
      </w:pPr>
      <w:r>
        <w:rPr>
          <w:rFonts w:hint="eastAsia"/>
        </w:rPr>
        <w:t>地面部分</w:t>
      </w:r>
    </w:p>
    <w:p>
      <w:pPr>
        <w:spacing w:line="240" w:lineRule="auto"/>
        <w:ind w:firstLine="420" w:firstLineChars="200"/>
      </w:pPr>
      <w:r>
        <w:rPr>
          <w:rFonts w:hint="eastAsia"/>
        </w:rPr>
        <w:t>机房区域内地面选用硫酸钙抗静电活动地板。机房区域活动地板铺设高度不小于250mm。</w:t>
      </w:r>
    </w:p>
    <w:p>
      <w:pPr>
        <w:spacing w:line="240" w:lineRule="auto"/>
        <w:ind w:firstLine="420" w:firstLineChars="200"/>
      </w:pPr>
      <w:r>
        <w:rPr>
          <w:rFonts w:hint="eastAsia"/>
        </w:rPr>
        <w:t>主机房内空调设备、配电柜和服务器机柜等设备采用4#角钢制作承重固定支架。</w:t>
      </w:r>
    </w:p>
    <w:p>
      <w:pPr>
        <w:spacing w:line="240" w:lineRule="auto"/>
        <w:ind w:firstLine="420" w:firstLineChars="200"/>
      </w:pPr>
      <w:r>
        <w:rPr>
          <w:rFonts w:hint="eastAsia"/>
        </w:rPr>
        <w:t>抗静电活动地板规格：600×600×35mm。</w:t>
      </w:r>
    </w:p>
    <w:p>
      <w:pPr>
        <w:spacing w:line="240" w:lineRule="auto"/>
        <w:ind w:firstLine="420" w:firstLineChars="200"/>
      </w:pPr>
      <w:r>
        <w:rPr>
          <w:rFonts w:hint="eastAsia"/>
        </w:rPr>
        <w:t>活动地板支撑的承载能力应大于1500kg。</w:t>
      </w:r>
    </w:p>
    <w:p>
      <w:pPr>
        <w:spacing w:line="240" w:lineRule="auto"/>
        <w:ind w:firstLine="420" w:firstLineChars="200"/>
      </w:pPr>
      <w:r>
        <w:rPr>
          <w:rFonts w:hint="eastAsia"/>
        </w:rPr>
        <w:t>地板安装要求:地板与地板之间不能有明显缝隙和突起，应平稳，不得晃动，地板支架要接地。</w:t>
      </w:r>
    </w:p>
    <w:p>
      <w:pPr>
        <w:pStyle w:val="5"/>
        <w:spacing w:before="120" w:after="120"/>
        <w:rPr>
          <w:rFonts w:hint="eastAsia"/>
        </w:rPr>
      </w:pPr>
      <w:r>
        <w:rPr>
          <w:rFonts w:hint="eastAsia"/>
        </w:rPr>
        <w:t>机房门及其它部分</w:t>
      </w:r>
    </w:p>
    <w:p>
      <w:pPr>
        <w:spacing w:line="240" w:lineRule="auto"/>
        <w:ind w:firstLine="420" w:firstLineChars="200"/>
      </w:pPr>
      <w:r>
        <w:rPr>
          <w:rFonts w:hint="eastAsia"/>
        </w:rPr>
        <w:t>机房区域对外进出口采用双扇不锈钢防放火门。规格：</w:t>
      </w:r>
      <w:r>
        <w:t>1500×2200mm。</w:t>
      </w:r>
    </w:p>
    <w:p>
      <w:pPr>
        <w:spacing w:line="240" w:lineRule="auto"/>
        <w:ind w:firstLine="420" w:firstLineChars="200"/>
      </w:pPr>
      <w:r>
        <w:rPr>
          <w:rFonts w:hint="eastAsia"/>
        </w:rPr>
        <w:t>防火门设计技术要求：不锈钢防火门按实际方位尺寸定制，安装，防火等级为</w:t>
      </w:r>
      <w:r>
        <w:t>A级。各进户门注意封堵孔洞，防止渗水、漏水</w:t>
      </w:r>
      <w:r>
        <w:rPr>
          <w:rFonts w:hint="eastAsia"/>
        </w:rPr>
        <w:t>，增加防鼠板</w:t>
      </w:r>
      <w:r>
        <w:t>。</w:t>
      </w:r>
    </w:p>
    <w:p>
      <w:pPr>
        <w:pStyle w:val="2"/>
        <w:spacing w:before="120" w:after="120"/>
      </w:pPr>
      <w:r>
        <w:rPr>
          <w:rFonts w:hint="eastAsia"/>
        </w:rPr>
        <w:t>照明与配电</w:t>
      </w:r>
    </w:p>
    <w:p>
      <w:pPr>
        <w:pStyle w:val="5"/>
        <w:spacing w:before="120" w:after="120"/>
        <w:rPr>
          <w:rFonts w:hint="eastAsia"/>
        </w:rPr>
      </w:pPr>
      <w:r>
        <w:rPr>
          <w:rFonts w:hint="eastAsia"/>
        </w:rPr>
        <w:t>配电类别选择</w:t>
      </w:r>
    </w:p>
    <w:p>
      <w:pPr>
        <w:spacing w:line="240" w:lineRule="auto"/>
        <w:ind w:firstLine="420" w:firstLineChars="200"/>
      </w:pPr>
      <w:r>
        <w:rPr>
          <w:rFonts w:hint="eastAsia"/>
        </w:rPr>
        <w:t>计算机供配电系统是计算机机房工程的重要组成部分，其供配电系统是计算机系统安全、可靠的运行最基本的保障。因此，计算机机房供配电系统要执行国家相应标准，为计算机系统提供优质的电源。</w:t>
      </w:r>
    </w:p>
    <w:p>
      <w:pPr>
        <w:spacing w:line="240" w:lineRule="auto"/>
      </w:pPr>
      <w:r>
        <w:rPr>
          <w:rFonts w:hint="eastAsia"/>
        </w:rPr>
        <w:t>计算机供配电系统电源采用频率</w:t>
      </w:r>
      <w:r>
        <w:t>50HZ、电压220V/380V 供电系统。</w:t>
      </w:r>
    </w:p>
    <w:p>
      <w:pPr>
        <w:pStyle w:val="5"/>
        <w:spacing w:before="120" w:after="120"/>
        <w:rPr>
          <w:rFonts w:hint="eastAsia"/>
        </w:rPr>
      </w:pPr>
      <w:r>
        <w:rPr>
          <w:rFonts w:hint="eastAsia"/>
        </w:rPr>
        <w:t>机房供配电</w:t>
      </w:r>
    </w:p>
    <w:p>
      <w:pPr>
        <w:spacing w:line="240" w:lineRule="auto"/>
        <w:ind w:firstLine="420" w:firstLineChars="200"/>
      </w:pPr>
      <w:r>
        <w:rPr>
          <w:rFonts w:hint="eastAsia"/>
        </w:rPr>
        <w:t>机房主要设备采用</w:t>
      </w:r>
      <w:r>
        <w:t>AC 380V</w:t>
      </w:r>
      <w:r>
        <w:rPr>
          <w:rFonts w:hint="eastAsia"/>
        </w:rPr>
        <w:t xml:space="preserve"> </w:t>
      </w:r>
      <w:r>
        <w:t>供电，三相五线制一类供电</w:t>
      </w:r>
      <w:r>
        <w:rPr>
          <w:rFonts w:hint="eastAsia"/>
        </w:rPr>
        <w:t>,主要</w:t>
      </w:r>
      <w:r>
        <w:t>供电负荷有：</w:t>
      </w:r>
    </w:p>
    <w:p>
      <w:pPr>
        <w:spacing w:line="240" w:lineRule="auto"/>
        <w:ind w:firstLine="420" w:firstLineChars="200"/>
      </w:pPr>
      <w:r>
        <w:t>机房计算机设备的供电（通过不间断电源UPS</w:t>
      </w:r>
      <w:r>
        <w:rPr>
          <w:rFonts w:hint="eastAsia"/>
        </w:rPr>
        <w:t>和市电</w:t>
      </w:r>
      <w:r>
        <w:t>）；</w:t>
      </w:r>
    </w:p>
    <w:p>
      <w:pPr>
        <w:spacing w:line="240" w:lineRule="auto"/>
        <w:ind w:firstLine="420" w:firstLineChars="200"/>
      </w:pPr>
      <w:r>
        <w:t>消防、视频监视、门禁的供电（通过</w:t>
      </w:r>
      <w:r>
        <w:rPr>
          <w:rFonts w:hint="eastAsia"/>
        </w:rPr>
        <w:t>市电</w:t>
      </w:r>
      <w:r>
        <w:t>）；</w:t>
      </w:r>
    </w:p>
    <w:p>
      <w:pPr>
        <w:spacing w:line="240" w:lineRule="auto"/>
        <w:ind w:firstLine="420" w:firstLineChars="200"/>
      </w:pPr>
      <w:r>
        <w:t>正常照明用供电和维修插座和其它一般动力的供电（提供市电）；</w:t>
      </w:r>
    </w:p>
    <w:p>
      <w:pPr>
        <w:spacing w:line="240" w:lineRule="auto"/>
        <w:ind w:firstLine="420" w:firstLineChars="200"/>
      </w:pPr>
      <w:r>
        <w:t>应急照明用供电（通过不间断电源UPS）；</w:t>
      </w:r>
    </w:p>
    <w:p>
      <w:pPr>
        <w:spacing w:line="240" w:lineRule="auto"/>
        <w:ind w:firstLine="420" w:firstLineChars="200"/>
      </w:pPr>
      <w:r>
        <w:t>精密空调供电（三相AC 380V市电）</w:t>
      </w:r>
    </w:p>
    <w:p>
      <w:pPr>
        <w:pStyle w:val="5"/>
        <w:spacing w:before="120" w:after="120"/>
        <w:rPr>
          <w:rFonts w:hint="eastAsia"/>
        </w:rPr>
      </w:pPr>
      <w:r>
        <w:rPr>
          <w:rFonts w:hint="eastAsia"/>
        </w:rPr>
        <w:t>机房照明</w:t>
      </w:r>
    </w:p>
    <w:p>
      <w:pPr>
        <w:spacing w:line="240" w:lineRule="auto"/>
        <w:ind w:firstLine="420" w:firstLineChars="200"/>
      </w:pPr>
      <w:r>
        <w:rPr>
          <w:rFonts w:hint="eastAsia"/>
        </w:rPr>
        <w:t>机房照明系统是在机房工作的重要保证，机房系统设置一般照明、应急照明（由</w:t>
      </w:r>
      <w:r>
        <w:t>UPS供电）、消防疏散照明、安全出口标志灯。</w:t>
      </w:r>
    </w:p>
    <w:p>
      <w:pPr>
        <w:spacing w:line="240" w:lineRule="auto"/>
        <w:ind w:firstLine="420" w:firstLineChars="200"/>
      </w:pPr>
      <w:r>
        <w:rPr>
          <w:rFonts w:hint="eastAsia"/>
        </w:rPr>
        <w:t>机房照明系统是在机房工作的重要保证，机房照明采用无眩光高级灯具。照明电源由市电通过照明配电箱供电。</w:t>
      </w:r>
    </w:p>
    <w:p>
      <w:pPr>
        <w:spacing w:line="240" w:lineRule="auto"/>
        <w:ind w:firstLine="420" w:firstLineChars="200"/>
      </w:pPr>
      <w:r>
        <w:rPr>
          <w:rFonts w:hint="eastAsia"/>
        </w:rPr>
        <w:t>根据用户需求及</w:t>
      </w:r>
      <w:r>
        <w:t>GB 50174-2008《电子计算机机房设计规范》，按每平方不低于500Lx的照度进行设计。通过对照下表，在面积50-150m2机房内，要达到500Lx的照度，每平方的安装灯盘功率为20.5W，由此计算出各个机房区的灯盘数，符合GB2287-89《计算站场地技术条件》。</w:t>
      </w:r>
    </w:p>
    <w:p>
      <w:pPr>
        <w:spacing w:line="240" w:lineRule="auto"/>
        <w:ind w:firstLine="420" w:firstLineChars="200"/>
      </w:pPr>
      <w:r>
        <w:rPr>
          <w:rFonts w:hint="eastAsia"/>
        </w:rPr>
        <w:t>应急照明包括备用照明、安全照明、疏散照明等。按照</w:t>
      </w:r>
      <w:r>
        <w:t>GB 50174-2008《电子计算机机房设计规范》的要求，备用照明的照度宜为一般照明的1/10,采用市电与UPS相互切换方式。</w:t>
      </w:r>
    </w:p>
    <w:p/>
    <w:p>
      <w:pPr>
        <w:pStyle w:val="2"/>
        <w:spacing w:before="120" w:after="120"/>
      </w:pPr>
      <w:r>
        <w:rPr>
          <w:rFonts w:hint="eastAsia"/>
        </w:rPr>
        <w:t>机电线缆要求</w:t>
      </w:r>
    </w:p>
    <w:p>
      <w:pPr>
        <w:spacing w:line="240" w:lineRule="auto"/>
        <w:ind w:firstLine="420" w:firstLineChars="200"/>
      </w:pPr>
      <w:r>
        <w:rPr>
          <w:rFonts w:hint="eastAsia"/>
        </w:rPr>
        <w:t>电力电缆：</w:t>
      </w:r>
      <w:r>
        <w:t>电缆选用WDZB-YJY-0.6/1KV低烟无卤阻燃交联聚乙烯绝缘、聚烯烃护套铜芯电力电缆</w:t>
      </w:r>
      <w:r>
        <w:rPr>
          <w:rFonts w:hint="eastAsia"/>
        </w:rPr>
        <w:t>，</w:t>
      </w:r>
      <w:r>
        <w:t>其工作温度为90℃</w:t>
      </w:r>
      <w:r>
        <w:rPr>
          <w:rFonts w:hint="eastAsia"/>
        </w:rPr>
        <w:t>，型号为：</w:t>
      </w:r>
      <w:r>
        <w:t>WDZB-YJY-4x185+1*95mm2</w:t>
      </w:r>
      <w:r>
        <w:rPr>
          <w:rFonts w:hint="eastAsia"/>
        </w:rPr>
        <w:t>，从负一层高低压配电房到7楼信息机房双电源配电箱箱，电缆需2组，每组长度165米，合计310米；</w:t>
      </w:r>
    </w:p>
    <w:p>
      <w:pPr>
        <w:spacing w:line="240" w:lineRule="auto"/>
        <w:ind w:firstLine="420" w:firstLineChars="200"/>
      </w:pPr>
      <w:r>
        <w:rPr>
          <w:rFonts w:hint="eastAsia"/>
        </w:rPr>
        <w:t>金属桥架：金属桥架采用符合国家标准GB/T21762-2008《电缆管理用电缆桥架》，规格：300*100*1.5mm，从7楼电缆管井到7楼信息机房双电源配电箱箱，长度45米；</w:t>
      </w:r>
    </w:p>
    <w:p/>
    <w:p>
      <w:pPr>
        <w:pStyle w:val="2"/>
        <w:spacing w:before="120" w:after="120"/>
      </w:pPr>
      <w:r>
        <w:rPr>
          <w:rFonts w:hint="eastAsia"/>
        </w:rPr>
        <w:t>防雷接地系统</w:t>
      </w:r>
    </w:p>
    <w:p>
      <w:pPr>
        <w:spacing w:line="240" w:lineRule="auto"/>
        <w:ind w:firstLine="420" w:firstLineChars="200"/>
      </w:pPr>
      <w:r>
        <w:rPr>
          <w:rFonts w:hint="eastAsia"/>
        </w:rPr>
        <w:t>《电子计算机机房设计规范》（</w:t>
      </w:r>
      <w:r>
        <w:t>GB50174—2008）规定：电子计算机机房接地装置的设置应满足人身的安全及电子计算机正常运行和系统设备的安全要求，计算机机房应采用下列四种接地方式：交流工作接地（中性点接地），接地电阻不应大于 4Ω ，最好小于等于 0.5Ω ；</w:t>
      </w:r>
    </w:p>
    <w:p>
      <w:pPr>
        <w:spacing w:line="240" w:lineRule="auto"/>
        <w:ind w:firstLine="420" w:firstLineChars="200"/>
      </w:pPr>
      <w:r>
        <w:rPr>
          <w:rFonts w:hint="eastAsia"/>
        </w:rPr>
        <w:t>安全保护接地（非带电金属接地），接地电阻不应大于</w:t>
      </w:r>
      <w:r>
        <w:t xml:space="preserve"> 4Ω ，最好小于等于 0.5Ω ；</w:t>
      </w:r>
    </w:p>
    <w:p>
      <w:pPr>
        <w:spacing w:line="240" w:lineRule="auto"/>
        <w:ind w:firstLine="420" w:firstLineChars="200"/>
      </w:pPr>
      <w:r>
        <w:rPr>
          <w:rFonts w:hint="eastAsia"/>
        </w:rPr>
        <w:t>直流工作接地（直流零、逻辑接地），接地电阻按机房具体要求确定，接地电阻不应大于</w:t>
      </w:r>
      <w:r>
        <w:t xml:space="preserve"> 0.5Ω ，直流逻辑地极与建筑物接地极的距离应大于 20 米。</w:t>
      </w:r>
    </w:p>
    <w:p>
      <w:pPr>
        <w:pStyle w:val="2"/>
        <w:spacing w:before="120" w:after="120"/>
      </w:pPr>
      <w:r>
        <w:rPr>
          <w:rFonts w:hint="eastAsia"/>
        </w:rPr>
        <w:t>机房新排风</w:t>
      </w:r>
    </w:p>
    <w:p>
      <w:pPr>
        <w:pStyle w:val="5"/>
        <w:spacing w:before="120" w:after="120"/>
        <w:rPr>
          <w:rFonts w:hint="eastAsia"/>
        </w:rPr>
      </w:pPr>
      <w:r>
        <w:rPr>
          <w:rFonts w:hint="eastAsia"/>
        </w:rPr>
        <w:t>机房新风系统</w:t>
      </w:r>
    </w:p>
    <w:p>
      <w:pPr>
        <w:spacing w:line="240" w:lineRule="auto"/>
        <w:ind w:firstLine="420" w:firstLineChars="200"/>
      </w:pPr>
      <w:r>
        <w:rPr>
          <w:rFonts w:hint="eastAsia"/>
        </w:rPr>
        <w:t>机房由于采用机房专用空调机组，室内装修进行了封闭处理，如果其中的空气不进行更换，空气品质易出现劣化，使机房操作人员长时间待在机房时会感到不适，造成这种现象的主要原因，就是新风不足或通风不良。</w:t>
      </w:r>
    </w:p>
    <w:p>
      <w:pPr>
        <w:spacing w:line="240" w:lineRule="auto"/>
        <w:ind w:firstLine="420" w:firstLineChars="200"/>
      </w:pPr>
      <w:r>
        <w:rPr>
          <w:rFonts w:hint="eastAsia"/>
        </w:rPr>
        <w:t>因此为了保持一个良好舒适的工作环境，保证机房内的空气品质和解决新风供应问题，必须对机房进行换气。另外，为满足机房对空气清洁度的要求，机房内也要不断补充新鲜空气并保证正压，即要求机房区与其它房间、走廊间的压差不应小于4.9Pa，与室外静压差不应小于9.8 Pa。</w:t>
      </w:r>
    </w:p>
    <w:p>
      <w:pPr>
        <w:spacing w:line="240" w:lineRule="auto"/>
        <w:ind w:firstLine="420" w:firstLineChars="200"/>
      </w:pPr>
      <w:r>
        <w:rPr>
          <w:rFonts w:hint="eastAsia"/>
        </w:rPr>
        <w:t>本次项目采用新风系统，吊顶安装，新风通风口与机房装修一致。</w:t>
      </w:r>
    </w:p>
    <w:p>
      <w:pPr>
        <w:spacing w:line="240" w:lineRule="auto"/>
        <w:ind w:firstLine="420" w:firstLineChars="200"/>
      </w:pPr>
      <w:r>
        <w:rPr>
          <w:rFonts w:hint="eastAsia"/>
        </w:rPr>
        <w:t>新风量应取机房专用空调总送风量的6次换气计算。</w:t>
      </w:r>
    </w:p>
    <w:p>
      <w:pPr>
        <w:pStyle w:val="5"/>
        <w:spacing w:before="120" w:after="120"/>
        <w:rPr>
          <w:rFonts w:hint="eastAsia"/>
        </w:rPr>
      </w:pPr>
      <w:r>
        <w:rPr>
          <w:rFonts w:hint="eastAsia"/>
        </w:rPr>
        <w:t>机房排风烟系统</w:t>
      </w:r>
    </w:p>
    <w:p>
      <w:pPr>
        <w:spacing w:line="240" w:lineRule="auto"/>
        <w:ind w:firstLine="420" w:firstLineChars="200"/>
      </w:pPr>
      <w:r>
        <w:rPr>
          <w:rFonts w:hint="eastAsia"/>
        </w:rPr>
        <w:t>根据消防要求，本项目设置专门的事故排烟系统。事故排烟系统用于消防气体喷发后能尽快消除残余气体，整套事故排烟系统设置一个控制箱，平时事故排烟系统关闭，待消防喷气完毕后可手动启动排烟。需要合理配置排烟风机和设置排烟位置。并根据规范设置相应排烟分区和配置相应的防火阀。</w:t>
      </w:r>
    </w:p>
    <w:p>
      <w:pPr>
        <w:spacing w:line="240" w:lineRule="auto"/>
        <w:ind w:firstLine="420" w:firstLineChars="200"/>
      </w:pPr>
      <w:r>
        <w:rPr>
          <w:rFonts w:hint="eastAsia"/>
        </w:rPr>
        <w:t>1、根据机房具体情况，主机房为一个排烟区，打开排烟阀，对火灾防护区进行高速排烟。</w:t>
      </w:r>
    </w:p>
    <w:p>
      <w:pPr>
        <w:spacing w:line="240" w:lineRule="auto"/>
        <w:ind w:firstLine="420" w:firstLineChars="200"/>
      </w:pPr>
      <w:r>
        <w:rPr>
          <w:rFonts w:hint="eastAsia"/>
        </w:rPr>
        <w:t>2、设计参数：排烟量按房间10秒内排空计算，设计选用3台排烟量为4500ｍ3/ｈ的排烟机。</w:t>
      </w:r>
    </w:p>
    <w:p>
      <w:pPr>
        <w:spacing w:line="240" w:lineRule="auto"/>
        <w:ind w:firstLine="420" w:firstLineChars="200"/>
      </w:pPr>
      <w:r>
        <w:rPr>
          <w:rFonts w:hint="eastAsia"/>
        </w:rPr>
        <w:t>3、风机箱体使用优质型材，双层设计，中间夹防火消音保温材料，降低噪音，增加耐火性。</w:t>
      </w:r>
    </w:p>
    <w:p>
      <w:pPr>
        <w:pStyle w:val="2"/>
        <w:spacing w:before="120" w:after="120"/>
      </w:pPr>
      <w:r>
        <w:rPr>
          <w:rFonts w:hint="eastAsia"/>
        </w:rPr>
        <w:t>气体消防系统</w:t>
      </w:r>
    </w:p>
    <w:p>
      <w:pPr>
        <w:spacing w:line="240" w:lineRule="auto"/>
        <w:ind w:firstLine="420" w:firstLineChars="200"/>
      </w:pPr>
      <w:r>
        <w:rPr>
          <w:rFonts w:hint="eastAsia"/>
        </w:rPr>
        <w:t>根据实际使用要求，本项目拟对该机房的消防采用无管网的气体灭火系统对机房进行保护，以达到满足机房的消防要求。根据机房的布置和规划，本机房划分出机房防护区。详细设计指标如下：</w:t>
      </w:r>
    </w:p>
    <w:p>
      <w:pPr>
        <w:spacing w:line="240" w:lineRule="auto"/>
        <w:ind w:firstLine="420" w:firstLineChars="200"/>
      </w:pPr>
      <w:r>
        <w:t>1</w:t>
      </w:r>
      <w:r>
        <w:rPr>
          <w:rFonts w:hint="eastAsia"/>
        </w:rPr>
        <w:t>）</w:t>
      </w:r>
      <w:r>
        <w:t>设计依据：《气体灭火系统设计规范》；《火灾自动报警系统设计规范》；《火灾自动报警系统施工及验收规范》；《气体灭火系统施工及验收规范》。</w:t>
      </w:r>
    </w:p>
    <w:p>
      <w:pPr>
        <w:spacing w:line="240" w:lineRule="auto"/>
        <w:ind w:firstLine="420" w:firstLineChars="200"/>
      </w:pPr>
      <w:r>
        <w:t>2</w:t>
      </w:r>
      <w:r>
        <w:rPr>
          <w:rFonts w:hint="eastAsia"/>
        </w:rPr>
        <w:t>）</w:t>
      </w:r>
      <w:r>
        <w:t>气体灭火范围：机房、配电室。</w:t>
      </w:r>
    </w:p>
    <w:p>
      <w:pPr>
        <w:spacing w:line="240" w:lineRule="auto"/>
        <w:ind w:firstLine="420" w:firstLineChars="200"/>
      </w:pPr>
      <w:r>
        <w:t>3</w:t>
      </w:r>
      <w:r>
        <w:rPr>
          <w:rFonts w:hint="eastAsia"/>
        </w:rPr>
        <w:t>）</w:t>
      </w:r>
      <w:r>
        <w:t>防护区的划分：机房防护区，采用无管网控制系统。</w:t>
      </w:r>
    </w:p>
    <w:p>
      <w:pPr>
        <w:spacing w:line="240" w:lineRule="auto"/>
        <w:ind w:firstLine="420" w:firstLineChars="200"/>
      </w:pPr>
      <w:r>
        <w:t>4</w:t>
      </w:r>
      <w:r>
        <w:rPr>
          <w:rFonts w:hint="eastAsia"/>
        </w:rPr>
        <w:t>）</w:t>
      </w:r>
      <w:r>
        <w:t>灭火气体：采用七氟丙烷灭火剂。</w:t>
      </w:r>
    </w:p>
    <w:p>
      <w:pPr>
        <w:spacing w:line="240" w:lineRule="auto"/>
        <w:ind w:firstLine="420" w:firstLineChars="200"/>
      </w:pPr>
      <w:r>
        <w:t>5</w:t>
      </w:r>
      <w:r>
        <w:rPr>
          <w:rFonts w:hint="eastAsia"/>
        </w:rPr>
        <w:t>）</w:t>
      </w:r>
      <w:r>
        <w:t>各区按消防规范设置气体消防系统和火灾自动报警系统。</w:t>
      </w:r>
    </w:p>
    <w:p>
      <w:pPr>
        <w:spacing w:line="240" w:lineRule="auto"/>
        <w:ind w:firstLine="420" w:firstLineChars="200"/>
      </w:pPr>
      <w:r>
        <w:t>6</w:t>
      </w:r>
      <w:r>
        <w:rPr>
          <w:rFonts w:hint="eastAsia"/>
        </w:rPr>
        <w:t>）</w:t>
      </w:r>
      <w:r>
        <w:t>联动控制功能：</w:t>
      </w:r>
    </w:p>
    <w:p>
      <w:pPr>
        <w:spacing w:line="240" w:lineRule="auto"/>
        <w:ind w:firstLine="420" w:firstLineChars="200"/>
      </w:pPr>
      <w:r>
        <w:rPr>
          <w:rFonts w:hint="eastAsia"/>
        </w:rPr>
        <w:t>灭火装置具有自动、手动及机械应急操作三种方式，火灾报警控制器可安装于操作室内，当气体灭火控制器接收到任何一个防护区内两个独立火灾报警信号时，延时</w:t>
      </w:r>
      <w:r>
        <w:t>30秒，控制器输出24伏直流电，使灭火剂启动瓶动作，七氟丙烷灭火剂经管网、喷咀施放到相应火灾防护区内，防护区外门灯闪亮，避免人员误入，同时控制器接收压力讯号器反馈信号，控制器面板喷放指示灯亮。</w:t>
      </w:r>
    </w:p>
    <w:p>
      <w:pPr>
        <w:spacing w:line="240" w:lineRule="auto"/>
        <w:ind w:firstLine="420" w:firstLineChars="200"/>
      </w:pPr>
      <w:r>
        <w:rPr>
          <w:rFonts w:hint="eastAsia"/>
        </w:rPr>
        <w:t>手动控制状态下，当防护区发生火警时，控制器只发出一个独立报警信号时，不能输出动作信号，由值班室人员确认火警后，按下相应防护区外气体手动放气按钮，即可启动该装置，喷放七氟丙烷灭火剂灭火。</w:t>
      </w:r>
    </w:p>
    <w:p>
      <w:pPr>
        <w:spacing w:line="240" w:lineRule="auto"/>
        <w:ind w:firstLine="420" w:firstLineChars="200"/>
      </w:pPr>
      <w:r>
        <w:rPr>
          <w:rFonts w:hint="eastAsia"/>
        </w:rPr>
        <w:t>机械应急操作方式，当某一防护区发生火警时，自动和手动控制都失去功能，值班人员立即跑到储瓶间，拔开相应防护区启动瓶的安全梢，按下电磁阀上的启动按钮，即可启动该装置，喷放七氟丙烷灭火剂灭火。</w:t>
      </w:r>
    </w:p>
    <w:p>
      <w:pPr>
        <w:pStyle w:val="2"/>
        <w:spacing w:before="120" w:after="120"/>
      </w:pPr>
      <w:r>
        <w:rPr>
          <w:rFonts w:hint="eastAsia"/>
        </w:rPr>
        <w:t>机房微模块系统</w:t>
      </w:r>
    </w:p>
    <w:p>
      <w:pPr>
        <w:spacing w:line="240" w:lineRule="auto"/>
        <w:ind w:firstLine="420" w:firstLineChars="200"/>
      </w:pPr>
      <w:r>
        <w:rPr>
          <w:rFonts w:hint="eastAsia"/>
        </w:rPr>
        <w:t>为保证机房整体系统的稳定性、兼容性以及后期维护的方便性，要求模块化数据中心产品都为同一品牌，包括一体化UPS、列间精密空调、机柜及PDU、封闭通道、环境监控等产品。</w:t>
      </w:r>
    </w:p>
    <w:p>
      <w:pPr>
        <w:pStyle w:val="5"/>
        <w:spacing w:before="120" w:after="120"/>
        <w:rPr>
          <w:rFonts w:hint="eastAsia"/>
        </w:rPr>
      </w:pPr>
      <w:r>
        <w:rPr>
          <w:rFonts w:hint="eastAsia"/>
        </w:rPr>
        <w:t>微模块一体化UPS</w:t>
      </w:r>
    </w:p>
    <w:p>
      <w:pPr>
        <w:spacing w:line="240" w:lineRule="auto"/>
        <w:ind w:firstLine="420" w:firstLineChars="200"/>
      </w:pPr>
      <w:r>
        <w:rPr>
          <w:rFonts w:hint="eastAsia"/>
        </w:rPr>
        <w:t>1、一体化UPS系统柜，满足双路市电输入，配置不低于400A的ATS双路切换开关；UPS最大容量不低于150KVA，单个功率模块为30kVA，功率模块高度2U，柜体外观尺寸（宽*深*高）：600*1200*2000mm，须与封闭冷通道内的服务器机柜一致，统一美观；</w:t>
      </w:r>
    </w:p>
    <w:p>
      <w:pPr>
        <w:spacing w:line="240" w:lineRule="auto"/>
        <w:ind w:firstLine="420" w:firstLineChars="200"/>
      </w:pPr>
      <w:r>
        <w:rPr>
          <w:rFonts w:hint="eastAsia"/>
        </w:rPr>
        <w:t>2、支持实现双路市电切换、市电配电、空调配电、UPS输出配电，UPS和配电部分集成于同一机柜；</w:t>
      </w:r>
    </w:p>
    <w:p>
      <w:pPr>
        <w:spacing w:line="240" w:lineRule="auto"/>
        <w:ind w:firstLine="420" w:firstLineChars="200"/>
      </w:pPr>
      <w:r>
        <w:rPr>
          <w:rFonts w:hint="eastAsia"/>
        </w:rPr>
        <w:t>3、标配不小于7英寸触摸液晶屏，设备操作采用硬件+软件组合方式，双键开关按钮防误操作，确保在触摸屏失效时依然可以开关机操作，提供证明文件。</w:t>
      </w:r>
    </w:p>
    <w:p>
      <w:pPr>
        <w:spacing w:line="240" w:lineRule="auto"/>
        <w:ind w:firstLine="420" w:firstLineChars="200"/>
      </w:pPr>
      <w:r>
        <w:rPr>
          <w:rFonts w:hint="eastAsia"/>
        </w:rPr>
        <w:t>4、一体化UPS采用单屏显示，显示内容集成配电与UPS显示内容，显示屏置于设备门板之外；</w:t>
      </w:r>
    </w:p>
    <w:p>
      <w:pPr>
        <w:spacing w:line="240" w:lineRule="auto"/>
        <w:ind w:firstLine="420" w:firstLineChars="200"/>
      </w:pPr>
      <w:r>
        <w:rPr>
          <w:rFonts w:hint="eastAsia"/>
        </w:rPr>
        <w:t>5、支持智能ECO模式，在超级ECO旁路供电的基础上优化电网质量，功率模块能对旁路电源进行谐波补偿，提高旁路PF值和THDV、以及降低THDI，单机和并机系统均支持WECO模式，可以设置ECO执行计划。</w:t>
      </w:r>
    </w:p>
    <w:p>
      <w:pPr>
        <w:spacing w:line="240" w:lineRule="auto"/>
        <w:ind w:firstLine="420" w:firstLineChars="200"/>
      </w:pPr>
      <w:r>
        <w:rPr>
          <w:rFonts w:hint="eastAsia"/>
        </w:rPr>
        <w:t>6、具有UPS智能录波功能，有利于现场故障分析和快速故障定位，缩短维护时间，提供证明文件。</w:t>
      </w:r>
    </w:p>
    <w:p>
      <w:pPr>
        <w:spacing w:line="240" w:lineRule="auto"/>
        <w:ind w:firstLine="420" w:firstLineChars="200"/>
      </w:pPr>
      <w:r>
        <w:rPr>
          <w:rFonts w:hint="eastAsia"/>
        </w:rPr>
        <w:t>7、UPS近端标配EPO按钮，同时具备远程EPO干接点接口，确保现场紧急状况下能够快速断电，保护设备安全。</w:t>
      </w:r>
    </w:p>
    <w:p>
      <w:pPr>
        <w:spacing w:line="240" w:lineRule="auto"/>
        <w:ind w:firstLine="420" w:firstLineChars="200"/>
      </w:pPr>
      <w:r>
        <w:rPr>
          <w:rFonts w:hint="eastAsia"/>
        </w:rPr>
        <w:t>8、UPS具备自老化功能，提供生产厂家盖章的针对该功能界面的证明材料。</w:t>
      </w:r>
    </w:p>
    <w:p>
      <w:pPr>
        <w:spacing w:line="240" w:lineRule="auto"/>
        <w:ind w:firstLine="420" w:firstLineChars="200"/>
      </w:pPr>
      <w:r>
        <w:rPr>
          <w:rFonts w:hint="eastAsia"/>
        </w:rPr>
        <w:t>9、变频器功能 ：具备变频功能，在50Hz（或60Hz）电网里获得60Hz（或50Hz）的输出；</w:t>
      </w:r>
    </w:p>
    <w:p>
      <w:pPr>
        <w:spacing w:line="240" w:lineRule="auto"/>
        <w:ind w:firstLine="420" w:firstLineChars="200"/>
      </w:pPr>
      <w:r>
        <w:rPr>
          <w:rFonts w:hint="eastAsia"/>
        </w:rPr>
        <w:t>10、电池智能管理：电池管理功能丰富，既方便电池日常维护，也可延长电池使用寿命。</w:t>
      </w:r>
    </w:p>
    <w:p>
      <w:pPr>
        <w:spacing w:line="240" w:lineRule="auto"/>
        <w:ind w:firstLine="420" w:firstLineChars="200"/>
      </w:pPr>
      <w:r>
        <w:rPr>
          <w:rFonts w:hint="eastAsia"/>
        </w:rPr>
        <w:t>11、模块化UPS采用集中旁路，避免分散旁路出现电流不均衡、不可控引起故障；且要求旁路具有独立接线和开关控制，提高供电可靠性；</w:t>
      </w:r>
    </w:p>
    <w:p>
      <w:pPr>
        <w:spacing w:line="240" w:lineRule="auto"/>
        <w:ind w:firstLine="420" w:firstLineChars="200"/>
      </w:pPr>
      <w:r>
        <w:rPr>
          <w:rFonts w:hint="eastAsia"/>
        </w:rPr>
        <w:t>12、应能够实现模块化UPS的资产安全管理功能，不仅支持电容、风扇等关键部件具备失效告警功能，提醒运维人员及时更换器件，实现器件级管理，还可通过主机面板记录更换备品备件的种类、日期与ID，实现备品备件的资产追溯与档案管理，运维省心无忧。</w:t>
      </w:r>
    </w:p>
    <w:p>
      <w:pPr>
        <w:spacing w:line="240" w:lineRule="auto"/>
        <w:ind w:firstLine="420" w:firstLineChars="200"/>
      </w:pPr>
      <w:r>
        <w:rPr>
          <w:rFonts w:hint="eastAsia"/>
        </w:rPr>
        <w:t xml:space="preserve">13、配电实现智能监控，可实时检测UPS的运行状态、主路及支路电气参数： </w:t>
      </w:r>
    </w:p>
    <w:p>
      <w:pPr>
        <w:spacing w:line="240" w:lineRule="auto"/>
        <w:ind w:firstLine="420" w:firstLineChars="200"/>
      </w:pPr>
      <w:r>
        <w:rPr>
          <w:rFonts w:hint="eastAsia"/>
        </w:rPr>
        <w:t>1)液晶触摸屏：采用7寸LCD触摸屏，彩色显示，标配RS485接口/232，提供Modbus通信协议。</w:t>
      </w:r>
    </w:p>
    <w:p>
      <w:pPr>
        <w:spacing w:line="240" w:lineRule="auto"/>
        <w:ind w:firstLine="420" w:firstLineChars="200"/>
      </w:pPr>
      <w:r>
        <w:rPr>
          <w:rFonts w:hint="eastAsia"/>
        </w:rPr>
        <w:t>2)检测单元：实时采集UPS 输入/输出/维修旁路空开、ATS 开关（主电/备电）、防雷器、各支路开关状态的状态；</w:t>
      </w:r>
    </w:p>
    <w:p>
      <w:pPr>
        <w:spacing w:line="240" w:lineRule="auto"/>
        <w:ind w:firstLine="420" w:firstLineChars="200"/>
      </w:pPr>
      <w:r>
        <w:rPr>
          <w:rFonts w:hint="eastAsia"/>
        </w:rPr>
        <w:t xml:space="preserve">3)UPS输入/输出电压、UPS输出电流、UPS输出频率、蓄电池电压、充/放电电流； </w:t>
      </w:r>
    </w:p>
    <w:p>
      <w:pPr>
        <w:spacing w:line="240" w:lineRule="auto"/>
        <w:ind w:firstLine="420" w:firstLineChars="200"/>
      </w:pPr>
      <w:r>
        <w:rPr>
          <w:rFonts w:hint="eastAsia"/>
        </w:rPr>
        <w:t>4)主路输入相电压、电流、频率、功率因素、电能、有功/无功/视在功率、负载率等；各配电支路电压、电流、功率、电能、负载率等参数。</w:t>
      </w:r>
    </w:p>
    <w:p>
      <w:pPr>
        <w:spacing w:line="240" w:lineRule="auto"/>
        <w:ind w:firstLine="420" w:firstLineChars="200"/>
      </w:pPr>
      <w:r>
        <w:rPr>
          <w:rFonts w:hint="eastAsia"/>
        </w:rPr>
        <w:t>14、额定电压12V蓄电池不低于±16～±23节、电池节数可调范围大，现场配置更加灵活。</w:t>
      </w:r>
    </w:p>
    <w:p>
      <w:pPr>
        <w:spacing w:line="240" w:lineRule="auto"/>
        <w:ind w:firstLine="420" w:firstLineChars="200"/>
      </w:pPr>
      <w:r>
        <w:rPr>
          <w:rFonts w:hint="eastAsia"/>
        </w:rPr>
        <w:t>15、所投同系列UPS产品获得中国节能产品认证证书，投标时必须提供证书。</w:t>
      </w:r>
    </w:p>
    <w:p>
      <w:pPr>
        <w:spacing w:line="240" w:lineRule="auto"/>
        <w:ind w:firstLine="420" w:firstLineChars="200"/>
      </w:pPr>
      <w:r>
        <w:rPr>
          <w:rFonts w:hint="eastAsia"/>
        </w:rPr>
        <w:t>16、UPS具备自动除尘功能，当设备运行周期较长或设备积尘过多时，UPS启动自动在线除尘功能，无需停机维护，防范未然，提高供电可靠性。提供生产厂家盖章的针对该功能设置界面的实际照片证明材料。</w:t>
      </w:r>
    </w:p>
    <w:p>
      <w:pPr>
        <w:spacing w:line="240" w:lineRule="auto"/>
        <w:ind w:firstLine="420" w:firstLineChars="200"/>
      </w:pPr>
      <w:r>
        <w:rPr>
          <w:rFonts w:hint="eastAsia"/>
        </w:rPr>
        <w:t>17、所投同系列UPS产品具备8、9烈度第三方抗震报告，投标时提供权威第三方认证报告证明。</w:t>
      </w:r>
    </w:p>
    <w:p>
      <w:pPr>
        <w:spacing w:line="240" w:lineRule="auto"/>
        <w:ind w:firstLine="420" w:firstLineChars="200"/>
      </w:pPr>
      <w:r>
        <w:rPr>
          <w:rFonts w:hint="eastAsia"/>
        </w:rPr>
        <w:t>18、UPS后备电池在模块化布置，后备时间不小于2小时，电池开关采用直流断路器，并在每节电池配置防漏液托盘。</w:t>
      </w:r>
    </w:p>
    <w:p>
      <w:pPr>
        <w:pStyle w:val="5"/>
        <w:spacing w:before="120" w:after="120"/>
        <w:rPr>
          <w:rFonts w:hint="eastAsia"/>
        </w:rPr>
      </w:pPr>
      <w:r>
        <w:rPr>
          <w:rFonts w:hint="eastAsia"/>
        </w:rPr>
        <w:t>微模块列间精密空调</w:t>
      </w:r>
    </w:p>
    <w:p>
      <w:pPr>
        <w:pStyle w:val="6"/>
        <w:spacing w:before="120"/>
        <w:rPr>
          <w:rFonts w:hint="eastAsia"/>
        </w:rPr>
      </w:pPr>
      <w:bookmarkStart w:id="0" w:name="OLE_LINK9"/>
      <w:bookmarkStart w:id="1" w:name="OLE_LINK10"/>
      <w:r>
        <w:rPr>
          <w:rFonts w:hint="eastAsia"/>
        </w:rPr>
        <w:t>列间精密空调</w:t>
      </w:r>
    </w:p>
    <w:bookmarkEnd w:id="0"/>
    <w:bookmarkEnd w:id="1"/>
    <w:p>
      <w:pPr>
        <w:spacing w:line="240" w:lineRule="auto"/>
        <w:ind w:firstLine="420" w:firstLineChars="200"/>
      </w:pPr>
      <w:r>
        <w:rPr>
          <w:rFonts w:hint="eastAsia"/>
        </w:rPr>
        <w:t>1、空调内机尺寸为宽*深*高：600*1200*2000mm，要求室内侧温度 37℃，室外侧温度35°C工况下，制冷量应≥40kw，显热比应≥0.95，并且机组制冷能效比应大于3.5，需提供所投产品由权威机构出具带有CNAS标志的第三方测试报告证明，报告指标需具有（实测工况、制冷量、显热制冷量、风量、能效比、噪音）等指标，并加盖投标单位鲜章；</w:t>
      </w:r>
    </w:p>
    <w:p>
      <w:pPr>
        <w:spacing w:line="240" w:lineRule="auto"/>
        <w:ind w:firstLine="420" w:firstLineChars="200"/>
      </w:pPr>
      <w:r>
        <w:rPr>
          <w:rFonts w:hint="eastAsia"/>
        </w:rPr>
        <w:t>2、标配加热功能、加湿功能，风量需≥8500m3/h，加湿量需≥2kg/h，加热量需≥6kw；</w:t>
      </w:r>
    </w:p>
    <w:p>
      <w:pPr>
        <w:spacing w:line="240" w:lineRule="auto"/>
        <w:ind w:firstLine="420" w:firstLineChars="200"/>
      </w:pPr>
      <w:r>
        <w:rPr>
          <w:rFonts w:hint="eastAsia"/>
        </w:rPr>
        <w:t xml:space="preserve">3、为保证可靠性并减少空调的风机维护工作，EC风机应采用N+1冗余配置，风机数量不小于10个，任意风机故障，仍可确保全风量运行；                                               </w:t>
      </w:r>
    </w:p>
    <w:p>
      <w:pPr>
        <w:spacing w:line="240" w:lineRule="auto"/>
        <w:ind w:firstLine="420" w:firstLineChars="200"/>
      </w:pPr>
      <w:r>
        <w:rPr>
          <w:rFonts w:hint="eastAsia"/>
        </w:rPr>
        <w:t>4、空调机组应采用低功耗湿膜加湿方式，节能省电，适用范围广，同时在加湿过程中无需消耗功率，需提供所投产品由权威机构出具的带有CNAS印章的第三方测试报告证明；</w:t>
      </w:r>
    </w:p>
    <w:p>
      <w:pPr>
        <w:spacing w:line="240" w:lineRule="auto"/>
        <w:ind w:firstLine="420" w:firstLineChars="200"/>
      </w:pPr>
      <w:r>
        <w:rPr>
          <w:rFonts w:hint="eastAsia"/>
        </w:rPr>
        <w:t>5、要求采用直流变频压缩机，要求压缩机具有较高的能效比，且冷量输出可实现20%-100%连续调节；</w:t>
      </w:r>
    </w:p>
    <w:p>
      <w:pPr>
        <w:spacing w:line="240" w:lineRule="auto"/>
        <w:ind w:firstLine="420" w:firstLineChars="200"/>
      </w:pPr>
      <w:r>
        <w:rPr>
          <w:rFonts w:hint="eastAsia"/>
        </w:rPr>
        <w:t xml:space="preserve">6、应选用高效内螺纹“V”型大面积蒸发器，保障换热效率；空调应配置可多次清洗及在线更换的空气过滤器，滤网标称效率等级不低于初效G4； </w:t>
      </w:r>
    </w:p>
    <w:p>
      <w:pPr>
        <w:spacing w:line="240" w:lineRule="auto"/>
        <w:ind w:firstLine="420" w:firstLineChars="200"/>
      </w:pPr>
      <w:r>
        <w:rPr>
          <w:rFonts w:hint="eastAsia"/>
        </w:rPr>
        <w:t>7、膨胀阀：为保证系统运行的高效性和稳定性，空调需要求标配双电子膨胀阀（两个电子膨胀阀），需提供所投产品由权威机构出具带有CNAS标志的第三方测试报告证明；</w:t>
      </w:r>
    </w:p>
    <w:p>
      <w:pPr>
        <w:spacing w:line="240" w:lineRule="auto"/>
        <w:ind w:firstLine="420" w:firstLineChars="200"/>
      </w:pPr>
      <w:r>
        <w:rPr>
          <w:rFonts w:hint="eastAsia"/>
        </w:rPr>
        <w:t>8、空调具备容错保护功能，输入缺相、错相时，具备相序告警保护功能；</w:t>
      </w:r>
    </w:p>
    <w:p>
      <w:pPr>
        <w:spacing w:line="240" w:lineRule="auto"/>
        <w:ind w:firstLine="420" w:firstLineChars="200"/>
      </w:pPr>
      <w:r>
        <w:rPr>
          <w:rFonts w:hint="eastAsia"/>
        </w:rPr>
        <w:t xml:space="preserve">9、精密空调应具有低载除湿能力，室内低负载的情况下能够稳定除湿功能；                                                                              </w:t>
      </w:r>
    </w:p>
    <w:p>
      <w:pPr>
        <w:spacing w:line="240" w:lineRule="auto"/>
        <w:ind w:firstLine="420" w:firstLineChars="200"/>
      </w:pPr>
      <w:r>
        <w:rPr>
          <w:rFonts w:hint="eastAsia"/>
        </w:rPr>
        <w:t xml:space="preserve">10、精密空调应采用 7英寸全中文彩色触摸屏，用于图形显示机组内各组件的运行状态的功能，屏幕事件记录数量不少于 1000 条 ；         </w:t>
      </w:r>
    </w:p>
    <w:p>
      <w:pPr>
        <w:spacing w:line="240" w:lineRule="auto"/>
        <w:ind w:firstLine="420" w:firstLineChars="200"/>
      </w:pPr>
      <w:r>
        <w:rPr>
          <w:rFonts w:hint="eastAsia"/>
        </w:rPr>
        <w:t>11、为保证精密空调可靠性及安全性，机组应支持制冷剂泄露或灌注量不足告警，需提供所投产品由权威机构出具带有CNAS标志的第三方测试报告证明；</w:t>
      </w:r>
    </w:p>
    <w:p>
      <w:pPr>
        <w:spacing w:line="240" w:lineRule="auto"/>
        <w:ind w:firstLine="420" w:firstLineChars="200"/>
      </w:pPr>
      <w:r>
        <w:rPr>
          <w:rFonts w:hint="eastAsia"/>
        </w:rPr>
        <w:t>12、精密空调应标配RS485接口，控制系统支持micro USB和USB端口的运维功能，同时具有与消防联动的干接点。当空调收到消防联动信号时，空调可立即自动停机，需提供所投产品由权威机构出具带有CNAS标志的第三方测试报告证明；</w:t>
      </w:r>
    </w:p>
    <w:p>
      <w:pPr>
        <w:spacing w:line="240" w:lineRule="auto"/>
        <w:ind w:firstLine="420" w:firstLineChars="200"/>
      </w:pPr>
      <w:r>
        <w:rPr>
          <w:rFonts w:hint="eastAsia"/>
        </w:rPr>
        <w:t>13、须提供投标产品的中国节能产品认证证书证明，并加盖投标单位鲜章；</w:t>
      </w:r>
    </w:p>
    <w:p>
      <w:pPr>
        <w:spacing w:line="240" w:lineRule="auto"/>
        <w:ind w:firstLine="420" w:firstLineChars="200"/>
      </w:pPr>
      <w:r>
        <w:rPr>
          <w:rFonts w:hint="eastAsia"/>
        </w:rPr>
        <w:t xml:space="preserve">14、须提供投标机组的CRAA产品认证证书证明，并加盖投标单位鲜章；  </w:t>
      </w:r>
    </w:p>
    <w:p>
      <w:pPr>
        <w:spacing w:line="240" w:lineRule="auto"/>
        <w:ind w:firstLine="420" w:firstLineChars="200"/>
      </w:pPr>
      <w:r>
        <w:rPr>
          <w:rFonts w:hint="eastAsia"/>
        </w:rPr>
        <w:t xml:space="preserve">15、投标设备厂家应具有中国制冷空调行业评定合格的焓差实验室，评定类别不低于A类，提供该试验装置评定合格证书并加盖投标单位鲜章。                     </w:t>
      </w:r>
    </w:p>
    <w:p>
      <w:pPr>
        <w:spacing w:line="240" w:lineRule="auto"/>
        <w:ind w:firstLine="420" w:firstLineChars="200"/>
      </w:pPr>
      <w:r>
        <w:rPr>
          <w:rFonts w:hint="eastAsia"/>
        </w:rPr>
        <w:t>16、空调风冷型室外机组应采用变频控制及采用低噪声的室外风机设计，需合理配备导风组件。能根据冷凝器管道内部压力变化自动调节冷凝风扇的运转速度，并实现节能，需提供具有导风组件设计的室外机实物照片证明并加盖投标单位公章。</w:t>
      </w:r>
    </w:p>
    <w:p>
      <w:pPr>
        <w:spacing w:line="240" w:lineRule="auto"/>
        <w:ind w:firstLine="420" w:firstLineChars="200"/>
      </w:pPr>
      <w:r>
        <w:rPr>
          <w:rFonts w:hint="eastAsia"/>
        </w:rPr>
        <w:t>17、空调风冷型室外机组应安装有冷凝压力传感器和风机转速控制板，可实现室外机冷凝压力自动控制；</w:t>
      </w:r>
    </w:p>
    <w:p>
      <w:pPr>
        <w:spacing w:line="240" w:lineRule="auto"/>
        <w:ind w:firstLine="420" w:firstLineChars="200"/>
      </w:pPr>
      <w:r>
        <w:rPr>
          <w:rFonts w:hint="eastAsia"/>
        </w:rPr>
        <w:t>18、空调风冷型室外机组应具有良好的刚性和防腐性能，边板采用铝材板，其他组件采用热镀锌板和喷涂防锈漆，室外机符合IPX5要求；需提供所投产品由权威机构出具带有CNAS标志的第三方测试报告证明；</w:t>
      </w:r>
    </w:p>
    <w:p>
      <w:pPr>
        <w:pStyle w:val="6"/>
        <w:spacing w:before="120"/>
        <w:rPr>
          <w:rFonts w:hint="eastAsia"/>
        </w:rPr>
      </w:pPr>
      <w:r>
        <w:rPr>
          <w:rFonts w:hint="eastAsia"/>
        </w:rPr>
        <w:t>房间级精密空调</w:t>
      </w:r>
    </w:p>
    <w:p>
      <w:pPr>
        <w:spacing w:line="240" w:lineRule="auto"/>
        <w:ind w:firstLine="420" w:firstLineChars="200"/>
      </w:pPr>
      <w:r>
        <w:rPr>
          <w:rFonts w:hint="eastAsia"/>
        </w:rPr>
        <w:t xml:space="preserve">1、风冷型房间级精密空调，上送风，制冷量≥12.5kW，风量≥3600m3/h，能效比≥3.0（工况：室内侧 干球温度约24℃，湿球温度约17℃；放热侧 干球温度约35℃测得），需提供投标同系列同制冷量产品在该工况下的第三方权威机构的检验报告并加盖设备厂商公章； </w:t>
      </w:r>
    </w:p>
    <w:p>
      <w:pPr>
        <w:spacing w:line="240" w:lineRule="auto"/>
        <w:ind w:firstLine="420" w:firstLineChars="200"/>
      </w:pPr>
      <w:r>
        <w:rPr>
          <w:rFonts w:hint="eastAsia"/>
        </w:rPr>
        <w:t>2、精密空调应具有良好性能指标，可满足高效节能的要求，精密空调主要指标不应低于以下要求。</w:t>
      </w:r>
    </w:p>
    <w:p>
      <w:pPr>
        <w:spacing w:line="240" w:lineRule="auto"/>
        <w:ind w:firstLine="420" w:firstLineChars="200"/>
      </w:pPr>
      <w:r>
        <w:rPr>
          <w:rFonts w:hint="eastAsia"/>
        </w:rPr>
        <w:t xml:space="preserve">1）输入电压允许波动范围：380V±10%；         </w:t>
      </w:r>
    </w:p>
    <w:p>
      <w:pPr>
        <w:spacing w:line="240" w:lineRule="auto"/>
        <w:ind w:firstLine="420" w:firstLineChars="200"/>
      </w:pPr>
      <w:r>
        <w:rPr>
          <w:rFonts w:hint="eastAsia"/>
        </w:rPr>
        <w:t xml:space="preserve">2）空调适应性：室内0℃～40℃，室外-15℃～45℃；                 </w:t>
      </w:r>
    </w:p>
    <w:p>
      <w:pPr>
        <w:spacing w:line="240" w:lineRule="auto"/>
        <w:ind w:firstLine="420" w:firstLineChars="200"/>
      </w:pPr>
      <w:r>
        <w:rPr>
          <w:rFonts w:hint="eastAsia"/>
        </w:rPr>
        <w:t xml:space="preserve">3、室内风机：空调机组须标准配置EC风机，提供产品彩页样本证明，并加盖设备厂商公章； </w:t>
      </w:r>
    </w:p>
    <w:p>
      <w:pPr>
        <w:spacing w:line="240" w:lineRule="auto"/>
        <w:ind w:firstLine="420" w:firstLineChars="200"/>
      </w:pPr>
      <w:r>
        <w:rPr>
          <w:rFonts w:hint="eastAsia"/>
        </w:rPr>
        <w:t>4、采用高效可靠压缩机，保障系统运行的可靠性；</w:t>
      </w:r>
    </w:p>
    <w:p>
      <w:pPr>
        <w:spacing w:line="240" w:lineRule="auto"/>
        <w:ind w:firstLine="420" w:firstLineChars="200"/>
      </w:pPr>
      <w:r>
        <w:rPr>
          <w:rFonts w:hint="eastAsia"/>
        </w:rPr>
        <w:t>5、精密空调应能够在设备的正面进行全面维修，空调本体外部应预留各种管道接口（冷媒管、加湿管、凝水管），包括下、后、侧面三方向预留各种管道接口，以便现场安装，需提供加盖设备厂商公章的实物照片证明；</w:t>
      </w:r>
    </w:p>
    <w:p>
      <w:pPr>
        <w:spacing w:line="240" w:lineRule="auto"/>
        <w:ind w:firstLine="420" w:firstLineChars="200"/>
      </w:pPr>
      <w:r>
        <w:rPr>
          <w:rFonts w:hint="eastAsia"/>
        </w:rPr>
        <w:t>6、为了降低回风风阻，机组应设计三面回风，即正面和左右两侧回风，需提供加盖设备厂商公章的实物照片证明；</w:t>
      </w:r>
    </w:p>
    <w:p>
      <w:pPr>
        <w:spacing w:line="240" w:lineRule="auto"/>
        <w:ind w:firstLine="420" w:firstLineChars="200"/>
      </w:pPr>
      <w:r>
        <w:rPr>
          <w:rFonts w:hint="eastAsia"/>
        </w:rPr>
        <w:t>7、为保证系统运行的高效性和稳定性，空调须配置电子膨胀阀，需提供所投产品的膨胀阀型号及品牌并加盖设备厂商公章，本项应支持现场查验；</w:t>
      </w:r>
    </w:p>
    <w:p>
      <w:pPr>
        <w:spacing w:line="240" w:lineRule="auto"/>
        <w:ind w:firstLine="420" w:firstLineChars="200"/>
      </w:pPr>
      <w:r>
        <w:rPr>
          <w:rFonts w:hint="eastAsia"/>
        </w:rPr>
        <w:t xml:space="preserve">8、所有空调机组需采用R410A制冷剂； </w:t>
      </w:r>
    </w:p>
    <w:p>
      <w:pPr>
        <w:spacing w:line="240" w:lineRule="auto"/>
        <w:ind w:firstLine="420" w:firstLineChars="200"/>
      </w:pPr>
      <w:r>
        <w:rPr>
          <w:rFonts w:hint="eastAsia"/>
        </w:rPr>
        <w:t xml:space="preserve">9、精密空调具备相序保护功能，来电自启动和延时启动功能，需提供加盖设备厂商公章的彩页样本证明文件；                      </w:t>
      </w:r>
    </w:p>
    <w:p>
      <w:pPr>
        <w:spacing w:line="240" w:lineRule="auto"/>
        <w:ind w:firstLine="420" w:firstLineChars="200"/>
      </w:pPr>
      <w:r>
        <w:rPr>
          <w:rFonts w:hint="eastAsia"/>
        </w:rPr>
        <w:t>10、提供投标产品的中国节能产品认证证书证明，并加盖设备厂商公章；</w:t>
      </w:r>
    </w:p>
    <w:p>
      <w:pPr>
        <w:spacing w:line="240" w:lineRule="auto"/>
        <w:ind w:firstLine="420" w:firstLineChars="200"/>
      </w:pPr>
      <w:r>
        <w:rPr>
          <w:rFonts w:hint="eastAsia"/>
        </w:rPr>
        <w:t>11、提供投标产品的CRAA产品认证证书证明，并加盖设备厂商公章；</w:t>
      </w:r>
    </w:p>
    <w:p>
      <w:pPr>
        <w:spacing w:line="240" w:lineRule="auto"/>
        <w:ind w:firstLine="420" w:firstLineChars="200"/>
      </w:pPr>
      <w:r>
        <w:rPr>
          <w:rFonts w:hint="eastAsia"/>
        </w:rPr>
        <w:t>12、提供投标产品的中国国家强制性产品认证证书，并加盖设备厂商公章；</w:t>
      </w:r>
    </w:p>
    <w:p>
      <w:pPr>
        <w:spacing w:line="240" w:lineRule="auto"/>
        <w:ind w:firstLine="420" w:firstLineChars="200"/>
      </w:pPr>
      <w:r>
        <w:rPr>
          <w:rFonts w:hint="eastAsia"/>
        </w:rPr>
        <w:t>13、所投设备的厂家应具有精密空调群控管理软件、控制系统主控软件、AI+能源管理软件等核心技术，需提供软件著作权证书证明并加盖设备厂商公章；</w:t>
      </w:r>
    </w:p>
    <w:p>
      <w:pPr>
        <w:spacing w:line="240" w:lineRule="auto"/>
        <w:ind w:firstLine="420" w:firstLineChars="200"/>
      </w:pPr>
      <w:r>
        <w:rPr>
          <w:rFonts w:hint="eastAsia"/>
        </w:rPr>
        <w:t>14、投标设备厂家应具有中国制冷空调行业评定合格的GMPI实验室或CNAS认可焓差实验室，评定类别不低于A类，需提供该试验装置评定合格证书并加盖设备厂商公章；</w:t>
      </w:r>
    </w:p>
    <w:p/>
    <w:p>
      <w:pPr>
        <w:pStyle w:val="5"/>
        <w:spacing w:before="120" w:after="120"/>
        <w:rPr>
          <w:rFonts w:hint="eastAsia"/>
        </w:rPr>
      </w:pPr>
      <w:r>
        <w:rPr>
          <w:rFonts w:hint="eastAsia"/>
        </w:rPr>
        <w:t>微模块机柜</w:t>
      </w:r>
    </w:p>
    <w:p>
      <w:pPr>
        <w:spacing w:line="240" w:lineRule="auto"/>
        <w:ind w:firstLine="420" w:firstLineChars="200"/>
      </w:pPr>
      <w:r>
        <w:rPr>
          <w:rFonts w:hint="eastAsia"/>
        </w:rPr>
        <w:t xml:space="preserve">1、服务器机柜尺寸规格（W×D×H）：600mm×1200mm×2000mm，42U，机柜宽600±2（mm），深1200±2（mm），高2000±2(mm)；  </w:t>
      </w:r>
    </w:p>
    <w:p>
      <w:pPr>
        <w:spacing w:line="240" w:lineRule="auto"/>
        <w:ind w:firstLine="420" w:firstLineChars="200"/>
      </w:pPr>
      <w:r>
        <w:rPr>
          <w:rFonts w:hint="eastAsia"/>
        </w:rPr>
        <w:t xml:space="preserve">2、机柜结构应牢固，箱体及内部钣金件装配结束后结构件不扭曲，紧固件连接应牢固、可靠、无松动，内部可安装层板，且高度可调整，可安装层板，层板可根据立柱的孔位进行调整，并可锁附在U 立柱上；     </w:t>
      </w:r>
    </w:p>
    <w:p>
      <w:pPr>
        <w:spacing w:line="240" w:lineRule="auto"/>
        <w:ind w:firstLine="420" w:firstLineChars="200"/>
      </w:pPr>
      <w:r>
        <w:rPr>
          <w:rFonts w:hint="eastAsia"/>
        </w:rPr>
        <w:t xml:space="preserve">3、机柜的外观应光洁平整，不得有明显的凹凸不平或机械损伤，不得有裂纹、毛刺、破坏性压痕或严重锈蚀等缺陷，机柜各零部件需要具备相应的防腐或装饰性涂镀层，涂镀层的厚度不小于80微米；                                                     </w:t>
      </w:r>
    </w:p>
    <w:p>
      <w:pPr>
        <w:spacing w:line="240" w:lineRule="auto"/>
        <w:ind w:firstLine="420" w:firstLineChars="200"/>
      </w:pPr>
      <w:r>
        <w:rPr>
          <w:rFonts w:hint="eastAsia"/>
        </w:rPr>
        <w:t xml:space="preserve">4、机柜应采用高强度的优质冷轧钢板，前后门须采用具有良好透风性能网状结构，前门采用单开平板网孔门，后门采用双开平板门，防护等级不低于IP20，主体骨架采用≥2.0mm厚材料，其它≥1.2mm厚材料；机柜通风率不低于80%，开门角度不低于135°，需提供同系列机柜第三方权威机构检测报告；                                                                             </w:t>
      </w:r>
    </w:p>
    <w:p>
      <w:pPr>
        <w:spacing w:line="240" w:lineRule="auto"/>
        <w:ind w:firstLine="420" w:firstLineChars="200"/>
      </w:pPr>
      <w:r>
        <w:rPr>
          <w:rFonts w:hint="eastAsia"/>
        </w:rPr>
        <w:t xml:space="preserve">5、机柜需具备有良好的承重能力，静态承重≥2500KG，动态承重≥1500KG；要求同系列机柜的承重第三方权威机构检测报告；                 </w:t>
      </w:r>
    </w:p>
    <w:p>
      <w:pPr>
        <w:spacing w:line="240" w:lineRule="auto"/>
        <w:ind w:firstLine="420" w:firstLineChars="200"/>
      </w:pPr>
      <w:r>
        <w:rPr>
          <w:rFonts w:hint="eastAsia"/>
        </w:rPr>
        <w:t xml:space="preserve">6、机柜应支持理线板安装，允许4个理线板同时安装；                                               </w:t>
      </w:r>
    </w:p>
    <w:p>
      <w:pPr>
        <w:spacing w:line="240" w:lineRule="auto"/>
        <w:ind w:firstLine="420" w:firstLineChars="200"/>
      </w:pPr>
      <w:r>
        <w:rPr>
          <w:rFonts w:hint="eastAsia"/>
        </w:rPr>
        <w:t xml:space="preserve">7、为符合中国ROHS认证标准 GB/T26572-2011《电子电气产品中限用物质的限量要求》，机柜及辅件通过电子电气产品中限用物质的限量要求检测，提供第三方检测报告；                                                                 </w:t>
      </w:r>
    </w:p>
    <w:p>
      <w:pPr>
        <w:spacing w:line="240" w:lineRule="auto"/>
        <w:ind w:firstLine="420" w:firstLineChars="200"/>
      </w:pPr>
      <w:r>
        <w:rPr>
          <w:rFonts w:hint="eastAsia"/>
        </w:rPr>
        <w:t>8、机柜应具备在承载不小于550kg的承重下，满足8、9级烈度抗震能力，需提供同系列机柜权威第三方检测报告，报告送测机柜尺寸与实际机柜尺寸偏差≤200mm；</w:t>
      </w:r>
    </w:p>
    <w:p>
      <w:pPr>
        <w:spacing w:line="240" w:lineRule="auto"/>
        <w:ind w:firstLine="420" w:firstLineChars="200"/>
      </w:pPr>
      <w:r>
        <w:rPr>
          <w:rFonts w:hint="eastAsia"/>
        </w:rPr>
        <w:t>9、每个机柜配置2条PDU，规格为输入32A，输出16位国标10A+4位国标16A、接线盒、指示灯。</w:t>
      </w:r>
    </w:p>
    <w:p>
      <w:pPr>
        <w:pStyle w:val="5"/>
        <w:spacing w:before="120" w:after="120"/>
        <w:rPr>
          <w:rFonts w:hint="eastAsia"/>
        </w:rPr>
      </w:pPr>
      <w:r>
        <w:rPr>
          <w:rFonts w:hint="eastAsia"/>
        </w:rPr>
        <w:t>微模块封闭通道</w:t>
      </w:r>
    </w:p>
    <w:p>
      <w:pPr>
        <w:spacing w:line="240" w:lineRule="auto"/>
        <w:ind w:firstLine="420" w:firstLineChars="200"/>
      </w:pPr>
      <w:r>
        <w:rPr>
          <w:rFonts w:hint="eastAsia"/>
        </w:rPr>
        <w:t>1、本项目1套封闭通道端门，含前后2个自动平移门。每个端门标配LOGO门楣及机柜侧面修饰封板，开放式玻璃门；</w:t>
      </w:r>
    </w:p>
    <w:p>
      <w:pPr>
        <w:spacing w:line="240" w:lineRule="auto"/>
        <w:ind w:firstLine="420" w:firstLineChars="200"/>
      </w:pPr>
      <w:r>
        <w:rPr>
          <w:rFonts w:hint="eastAsia"/>
        </w:rPr>
        <w:t>2、自动门采用12mm厚钢化玻璃，端门通道玻璃面积占比98%以上，需提供权威第三方检测报告证明；</w:t>
      </w:r>
    </w:p>
    <w:p>
      <w:pPr>
        <w:spacing w:line="240" w:lineRule="auto"/>
        <w:ind w:firstLine="420" w:firstLineChars="200"/>
      </w:pPr>
      <w:r>
        <w:rPr>
          <w:rFonts w:hint="eastAsia"/>
        </w:rPr>
        <w:t>3、微模块端门应具备红外关门防夹功能：当有人员或异物处于通道门中间区域，通道门不会执行关闭动作；</w:t>
      </w:r>
    </w:p>
    <w:p>
      <w:pPr>
        <w:spacing w:line="240" w:lineRule="auto"/>
        <w:ind w:firstLine="420" w:firstLineChars="200"/>
      </w:pPr>
      <w:r>
        <w:rPr>
          <w:rFonts w:hint="eastAsia"/>
        </w:rPr>
        <w:t xml:space="preserve">4、微模块端门应具备出门按钮及紧急开门按钮，支持开关门检测、远程开关门控制及消防联动功能；                  </w:t>
      </w:r>
    </w:p>
    <w:p>
      <w:pPr>
        <w:spacing w:line="240" w:lineRule="auto"/>
        <w:ind w:firstLine="420" w:firstLineChars="200"/>
      </w:pPr>
      <w:r>
        <w:rPr>
          <w:rFonts w:hint="eastAsia"/>
        </w:rPr>
        <w:t>5、微模块应内置智能灯光系统：支持LOGO门楣、门框氛围灯，支持人体感应控制，微模块门框氛围灯可支持全彩展示，支持告警联动不低于5种颜色，需提供相关原厂彩页证明；</w:t>
      </w:r>
    </w:p>
    <w:p>
      <w:pPr>
        <w:spacing w:line="240" w:lineRule="auto"/>
        <w:ind w:firstLine="420" w:firstLineChars="200"/>
      </w:pPr>
      <w:r>
        <w:rPr>
          <w:rFonts w:hint="eastAsia"/>
        </w:rPr>
        <w:t>6、微模块冷通道通过8级烈度以上结构抗震测试，报告中须体现冷通道的结构，需包含通道玻璃门、机柜、天窗等基本结构，需提供权威第三方检测报告。</w:t>
      </w:r>
    </w:p>
    <w:p>
      <w:pPr>
        <w:spacing w:line="240" w:lineRule="auto"/>
        <w:ind w:firstLine="420" w:firstLineChars="200"/>
      </w:pPr>
      <w:r>
        <w:rPr>
          <w:rFonts w:hint="eastAsia"/>
        </w:rPr>
        <w:t>7、封闭通道前后门固定天窗，用于安装监控设备，支持烟感、摄像头、温度探测器、压差传感器；</w:t>
      </w:r>
    </w:p>
    <w:p>
      <w:pPr>
        <w:spacing w:line="240" w:lineRule="auto"/>
        <w:ind w:firstLine="420" w:firstLineChars="200"/>
      </w:pPr>
      <w:r>
        <w:rPr>
          <w:rFonts w:hint="eastAsia"/>
        </w:rPr>
        <w:t>8、固定天窗顶部可用于强电走线，顶部具备分线隔板，满足A、B两路线缆隔离（不超过R20）；当配置超R20时，需配置横跨桥架；</w:t>
      </w:r>
    </w:p>
    <w:p>
      <w:pPr>
        <w:spacing w:line="240" w:lineRule="auto"/>
        <w:ind w:firstLine="420" w:firstLineChars="200"/>
      </w:pPr>
      <w:r>
        <w:rPr>
          <w:rFonts w:hint="eastAsia"/>
        </w:rPr>
        <w:t>9、固定天窗标准为600mm宽，可根据微模块长度进行调整，宽度不小于300mm。</w:t>
      </w:r>
    </w:p>
    <w:p>
      <w:pPr>
        <w:spacing w:line="240" w:lineRule="auto"/>
        <w:ind w:firstLine="420" w:firstLineChars="200"/>
      </w:pPr>
      <w:r>
        <w:rPr>
          <w:rFonts w:hint="eastAsia"/>
        </w:rPr>
        <w:t>10、前门固定天窗预制有天窗磁力锁及通道照明供电线；</w:t>
      </w:r>
    </w:p>
    <w:p>
      <w:pPr>
        <w:spacing w:line="240" w:lineRule="auto"/>
        <w:ind w:firstLine="420" w:firstLineChars="200"/>
      </w:pPr>
      <w:r>
        <w:rPr>
          <w:rFonts w:hint="eastAsia"/>
        </w:rPr>
        <w:t>11、前门固定天窗预制有遮光板；</w:t>
      </w:r>
    </w:p>
    <w:p>
      <w:pPr>
        <w:spacing w:line="240" w:lineRule="auto"/>
        <w:ind w:firstLine="420" w:firstLineChars="200"/>
      </w:pPr>
      <w:r>
        <w:rPr>
          <w:rFonts w:hint="eastAsia"/>
        </w:rPr>
        <w:t>12、通道中机柜前配置600mm宽电动单翻天窗，5mm厚钢化玻璃带防爆膜，配套安装有：天窗磁力锁，天窗开关信号检测，铝合金窄边框，传动组件， 200mm高天窗支撑板，翻转角度20°，并配合监控系统支持天窗开关状态检测及远程开关天窗功能；</w:t>
      </w:r>
    </w:p>
    <w:p>
      <w:pPr>
        <w:pStyle w:val="5"/>
        <w:spacing w:before="120" w:after="120"/>
        <w:rPr>
          <w:rFonts w:hint="eastAsia"/>
        </w:rPr>
      </w:pPr>
      <w:r>
        <w:rPr>
          <w:rFonts w:hint="eastAsia"/>
        </w:rPr>
        <w:t>微模块环境监控系统</w:t>
      </w:r>
    </w:p>
    <w:p>
      <w:pPr>
        <w:spacing w:line="240" w:lineRule="auto"/>
        <w:ind w:firstLine="420" w:firstLineChars="200"/>
      </w:pPr>
      <w:r>
        <w:rPr>
          <w:rFonts w:hint="eastAsia"/>
        </w:rPr>
        <w:t>环境监控系统采用B/S架构，具有良好的可视化界面。</w:t>
      </w:r>
    </w:p>
    <w:p>
      <w:pPr>
        <w:spacing w:line="240" w:lineRule="auto"/>
        <w:ind w:firstLine="420" w:firstLineChars="200"/>
      </w:pPr>
      <w:r>
        <w:rPr>
          <w:rFonts w:hint="eastAsia"/>
        </w:rPr>
        <w:t>1、监控主机采用1U机架式，4个RS232/RS485串口，6个RS485串口，12路输入干接点，4路输出干接点，具有供电功能，满足各接入设备的DC12V供电；具备本地存储能力，要求存储≥8G，并可支持SD卡或硬盘扩展。</w:t>
      </w:r>
    </w:p>
    <w:p>
      <w:pPr>
        <w:spacing w:line="240" w:lineRule="auto"/>
        <w:ind w:firstLine="420" w:firstLineChars="200"/>
      </w:pPr>
      <w:r>
        <w:rPr>
          <w:rFonts w:hint="eastAsia"/>
        </w:rPr>
        <w:t>2、监控主机具备2路10/100/1000M自适应双网卡工作模式，支持多址设定和网络容错设置；</w:t>
      </w:r>
    </w:p>
    <w:p>
      <w:pPr>
        <w:spacing w:line="240" w:lineRule="auto"/>
        <w:ind w:firstLine="420" w:firstLineChars="200"/>
      </w:pPr>
      <w:r>
        <w:rPr>
          <w:rFonts w:hint="eastAsia"/>
        </w:rPr>
        <w:t>3、支持10000测点量和10W条历史纪录的存储，10个以上web端访问，并需提供第三方权威机构的证明；</w:t>
      </w:r>
    </w:p>
    <w:p>
      <w:pPr>
        <w:spacing w:line="240" w:lineRule="auto"/>
        <w:ind w:firstLine="420" w:firstLineChars="200"/>
      </w:pPr>
      <w:r>
        <w:rPr>
          <w:rFonts w:hint="eastAsia"/>
        </w:rPr>
        <w:t>4、须集成1路USB接口。可以将设置信息和配置信息导出到U盘，通过U盘设置监控主机参数。</w:t>
      </w:r>
    </w:p>
    <w:p>
      <w:pPr>
        <w:spacing w:line="240" w:lineRule="auto"/>
        <w:ind w:firstLine="420" w:firstLineChars="200"/>
      </w:pPr>
      <w:r>
        <w:rPr>
          <w:rFonts w:hint="eastAsia"/>
        </w:rPr>
        <w:t>5、须集成4G全网通短信模块，插入手机卡即可实现短信告警。</w:t>
      </w:r>
    </w:p>
    <w:p>
      <w:pPr>
        <w:spacing w:line="240" w:lineRule="auto"/>
        <w:ind w:firstLine="420" w:firstLineChars="200"/>
      </w:pPr>
      <w:r>
        <w:rPr>
          <w:rFonts w:hint="eastAsia"/>
        </w:rPr>
        <w:t>6、为了保证微模块的统一规划、管理、调试，微模块监控系统须与微模块同一品牌，并提供自主研发软件著作权。</w:t>
      </w:r>
    </w:p>
    <w:p>
      <w:pPr>
        <w:spacing w:line="240" w:lineRule="auto"/>
        <w:ind w:firstLine="420" w:firstLineChars="200"/>
      </w:pPr>
      <w:r>
        <w:rPr>
          <w:rFonts w:hint="eastAsia"/>
        </w:rPr>
        <w:t>7、软件系统应采用Linux操作系统，为保证系统可靠性，系统应支持10个以上客户端同时访问的能力，提供第三方检测报告加盖公章证明。</w:t>
      </w:r>
    </w:p>
    <w:p>
      <w:pPr>
        <w:spacing w:line="240" w:lineRule="auto"/>
        <w:ind w:firstLine="420" w:firstLineChars="200"/>
      </w:pPr>
      <w:r>
        <w:rPr>
          <w:rFonts w:hint="eastAsia"/>
        </w:rPr>
        <w:t>8、动环监控系统支持链路可视化，包含配电链路、制冷链路、通讯链路功能：</w:t>
      </w:r>
    </w:p>
    <w:p>
      <w:pPr>
        <w:spacing w:line="240" w:lineRule="auto"/>
        <w:ind w:firstLine="420" w:firstLineChars="200"/>
      </w:pPr>
      <w:r>
        <w:rPr>
          <w:rFonts w:hint="eastAsia"/>
        </w:rPr>
        <w:t xml:space="preserve">   1）配电链路：支持系统的市电输入，电源配置，配电配置以及配电支路信息、机柜信息组成链路关系图，支持配电系统主路、支路的电压、电流、开关状态等监测，并支持生成配电拓扑图，在拓扑图上显示各开关状态和电流信息；</w:t>
      </w:r>
    </w:p>
    <w:p>
      <w:pPr>
        <w:spacing w:line="240" w:lineRule="auto"/>
        <w:ind w:firstLine="420" w:firstLineChars="200"/>
      </w:pPr>
      <w:r>
        <w:rPr>
          <w:rFonts w:hint="eastAsia"/>
        </w:rPr>
        <w:t xml:space="preserve">   2）制冷链路：支持展示微模块系统列间空调的单机链路图、展示冷量信息，支持监控空调回送风情况、运行状况、空调各部件（如压缩机、风机、加热器、加湿器、滤网等）的运行状态与参数；</w:t>
      </w:r>
    </w:p>
    <w:p>
      <w:pPr>
        <w:spacing w:line="240" w:lineRule="auto"/>
        <w:ind w:firstLine="420" w:firstLineChars="200"/>
      </w:pPr>
      <w:r>
        <w:rPr>
          <w:rFonts w:hint="eastAsia"/>
        </w:rPr>
        <w:t xml:space="preserve">   3）通讯链路：系统支持监控主机、交换机的网络设备，南向串口设备的通讯链路情况，直观显示各个设备的通讯状态。</w:t>
      </w:r>
    </w:p>
    <w:p>
      <w:pPr>
        <w:spacing w:line="240" w:lineRule="auto"/>
        <w:ind w:firstLine="420" w:firstLineChars="200"/>
      </w:pPr>
      <w:r>
        <w:rPr>
          <w:rFonts w:hint="eastAsia"/>
        </w:rPr>
        <w:t>9、支持计划管理软件：支持自定义计划任务实现制冷调节，UPS关机，UPS放电，支持任务提醒，并可通过短信、邮件等方式提前通知用户；</w:t>
      </w:r>
    </w:p>
    <w:p>
      <w:pPr>
        <w:spacing w:line="240" w:lineRule="auto"/>
        <w:ind w:firstLine="420" w:firstLineChars="200"/>
      </w:pPr>
      <w:r>
        <w:rPr>
          <w:rFonts w:hint="eastAsia"/>
        </w:rPr>
        <w:t>10、支持报表管理软件：支持设备历史事件图表、历史数据的图表展示，事件列表查询、历史数据列表查询，并可以excel表格导出；</w:t>
      </w:r>
    </w:p>
    <w:p>
      <w:pPr>
        <w:spacing w:line="240" w:lineRule="auto"/>
        <w:ind w:firstLine="420" w:firstLineChars="200"/>
      </w:pPr>
      <w:r>
        <w:rPr>
          <w:rFonts w:hint="eastAsia"/>
        </w:rPr>
        <w:t>11、支持告警管理软件：实现告警等级管理、告警事件管理、告警通知方式、用户告警设置、告警通知记录、告警联动管理、告警通知模板设置、告警屏蔽管理、告警收敛管理等功能。可自定义告警等级，自定义告警通知模板，自定义告警屏蔽策略以及告警收敛策略软件；系统支持实时告警定位，可实现实时告警列表与微模块模型双向联动，支持在设备详情页中自动高亮显示告警测点，快速引导用户定位告警所在位置；用户可自定义设置告警推送方式、推送人员、推送规则，支持短信告警、邮件告警、电话语音告警及声光告警方式，出现告警能快速通知用户。</w:t>
      </w:r>
    </w:p>
    <w:p>
      <w:pPr>
        <w:spacing w:line="240" w:lineRule="auto"/>
        <w:ind w:firstLine="420" w:firstLineChars="200"/>
      </w:pPr>
      <w:r>
        <w:rPr>
          <w:rFonts w:hint="eastAsia"/>
        </w:rPr>
        <w:t>12、支持容量管理软件：支持微模块内配电容量，制冷容量，U位容量的手动配置管理与展示。</w:t>
      </w:r>
    </w:p>
    <w:p>
      <w:pPr>
        <w:spacing w:line="240" w:lineRule="auto"/>
        <w:ind w:firstLine="420" w:firstLineChars="200"/>
      </w:pPr>
      <w:r>
        <w:rPr>
          <w:rFonts w:hint="eastAsia"/>
        </w:rPr>
        <w:t>13、支持能耗管理功能：动环监控系统具备能耗数据分析功能，可实时显示PUE 值，支持按年月日进行电能统计，以图表、表格分析显示。</w:t>
      </w:r>
    </w:p>
    <w:p>
      <w:pPr>
        <w:spacing w:line="240" w:lineRule="auto"/>
        <w:ind w:firstLine="420" w:firstLineChars="200"/>
      </w:pPr>
      <w:r>
        <w:rPr>
          <w:rFonts w:hint="eastAsia"/>
        </w:rPr>
        <w:t>14、动环监控系统支持手机APP 实时查看设备信息，可支持安卓与IOS系统；</w:t>
      </w:r>
    </w:p>
    <w:p>
      <w:pPr>
        <w:spacing w:line="240" w:lineRule="auto"/>
        <w:ind w:firstLine="420" w:firstLineChars="200"/>
      </w:pPr>
      <w:r>
        <w:rPr>
          <w:rFonts w:hint="eastAsia"/>
        </w:rPr>
        <w:t>15、为了保证信息安全，提供的监控系统必须具备多种的安全设计，并需提供第三方权威机构的证明。</w:t>
      </w:r>
    </w:p>
    <w:p>
      <w:pPr>
        <w:pStyle w:val="5"/>
        <w:spacing w:before="120" w:after="120"/>
        <w:rPr>
          <w:rFonts w:hint="eastAsia"/>
        </w:rPr>
      </w:pPr>
      <w:r>
        <w:rPr>
          <w:rFonts w:hint="eastAsia"/>
        </w:rPr>
        <w:t>机房门禁与视频监控</w:t>
      </w:r>
    </w:p>
    <w:p>
      <w:pPr>
        <w:spacing w:line="240" w:lineRule="auto"/>
        <w:ind w:firstLine="420" w:firstLineChars="200"/>
      </w:pPr>
      <w:r>
        <w:rPr>
          <w:rFonts w:hint="eastAsia"/>
        </w:rPr>
        <w:t>1、门禁一体机设备应采用嵌入式 linux 系统。</w:t>
      </w:r>
    </w:p>
    <w:p>
      <w:pPr>
        <w:spacing w:line="240" w:lineRule="auto"/>
        <w:ind w:firstLine="420" w:firstLineChars="200"/>
      </w:pPr>
      <w:r>
        <w:rPr>
          <w:rFonts w:hint="eastAsia"/>
        </w:rPr>
        <w:t>前面板防破坏能力应满足 IK07 的要求；结构后壳防破坏能力应满足 IK10 的要求；防水等级应大于IP65；应支持选择嵌入式、壁挂、桌面、立式、人员通道安装；</w:t>
      </w:r>
    </w:p>
    <w:p>
      <w:pPr>
        <w:spacing w:line="240" w:lineRule="auto"/>
        <w:ind w:firstLine="420" w:firstLineChars="200"/>
      </w:pPr>
      <w:r>
        <w:rPr>
          <w:rFonts w:hint="eastAsia"/>
        </w:rPr>
        <w:t>1.LAN╳1，支持 10M/100M/1000M 网络自适应配置；2.RS-485 串口╳1 个；3.输入、输出韦根接口╳1 个（平台可配置）；4.USB 接口╳2 个，包括 type C 接口、micro USB 接口和普通 USB 连接口（需扩展线）；5.内置扬声器╳1 个；6.门锁 I/O 输出╳1 个；7.门磁 I/O 输入╳1 个；8.开门按钮 I/O 输入╳1 个；9.报警 I/O 输出╳1 个；10.报警事件 I/O 输入╳2 个；11.机械防拆开关╳1 个；12.支持 3.5mm 音频输出接口╳1 个；13.支持 micro SD 卡槽扩展；14.支持 MIC 音频输入采集。</w:t>
      </w:r>
    </w:p>
    <w:p>
      <w:pPr>
        <w:spacing w:line="240" w:lineRule="auto"/>
        <w:ind w:firstLine="420" w:firstLineChars="200"/>
      </w:pPr>
      <w:r>
        <w:rPr>
          <w:rFonts w:hint="eastAsia"/>
        </w:rPr>
        <w:t>屏幕应为 7 英寸触摸屏；应采用水滴屏全贴合工艺；玻璃屏占比≥90%。屏幕流明度≥600cd/m2；屏幕分辨率应不低于600*1024；屏显下端应具有圆形指示灯，指示灯应支持固定频率的亮起和熄灭（呼吸状态）及识别状态提示。</w:t>
      </w:r>
    </w:p>
    <w:p>
      <w:pPr>
        <w:spacing w:line="240" w:lineRule="auto"/>
        <w:ind w:firstLine="420" w:firstLineChars="200"/>
      </w:pPr>
      <w:r>
        <w:rPr>
          <w:rFonts w:hint="eastAsia"/>
        </w:rPr>
        <w:t>设备支持GM/T 0028《密码模块安全技术要求》安全二级，并支持在商用密码检测中心官网查询证书有效性。</w:t>
      </w:r>
    </w:p>
    <w:p>
      <w:pPr>
        <w:spacing w:line="240" w:lineRule="auto"/>
        <w:ind w:firstLine="420" w:firstLineChars="200"/>
      </w:pPr>
      <w:r>
        <w:rPr>
          <w:rFonts w:hint="eastAsia"/>
        </w:rPr>
        <w:t>2、硬盘录像机具有2个HDMI接口、2个VGA接口、1个CVBS接口、2个RJ45 千兆网络接口；2个USB2.0接口、2个USB3.0接口、1个RS232接口、1个RS485接口（可接入RS485键盘）、1个eSata接口；具有1路音频输入接口、2路音频输出接口、16路报警输入接口、9路报警输出接口（其中第9路支持受控直流12V输出）、具有1路直流12V输出接口（12V 1A）、可内置9块SATA接口硬盘；（以公安部检测报告为准）</w:t>
      </w:r>
    </w:p>
    <w:p>
      <w:pPr>
        <w:spacing w:line="240" w:lineRule="auto"/>
        <w:ind w:firstLine="420" w:firstLineChars="200"/>
      </w:pPr>
      <w:r>
        <w:rPr>
          <w:rFonts w:hint="eastAsia"/>
        </w:rPr>
        <w:t>HDMI1和HDMI2支持最大单路8K（7680×4320）和1080P（1920×1080）异源输出。（以公安部检测报告为准）</w:t>
      </w:r>
    </w:p>
    <w:p>
      <w:pPr>
        <w:spacing w:line="240" w:lineRule="auto"/>
        <w:ind w:firstLine="420" w:firstLineChars="200"/>
      </w:pPr>
      <w:r>
        <w:rPr>
          <w:rFonts w:hint="eastAsia"/>
        </w:rPr>
        <w:t>3、网络摄像机具有200万像素 CMOS传感器。</w:t>
      </w:r>
    </w:p>
    <w:p>
      <w:pPr>
        <w:spacing w:line="240" w:lineRule="auto"/>
        <w:ind w:firstLine="420" w:firstLineChars="200"/>
      </w:pPr>
      <w:r>
        <w:rPr>
          <w:rFonts w:hint="eastAsia"/>
        </w:rPr>
        <w:t>内置GPU芯片。（公安部检验报告证明）</w:t>
      </w:r>
    </w:p>
    <w:p>
      <w:pPr>
        <w:spacing w:line="240" w:lineRule="auto"/>
        <w:ind w:firstLine="420" w:firstLineChars="200"/>
      </w:pPr>
      <w:r>
        <w:rPr>
          <w:rFonts w:hint="eastAsia"/>
        </w:rPr>
        <w:t>内置红外与白光补光灯。（公安部检验报告证明）</w:t>
      </w:r>
    </w:p>
    <w:p>
      <w:pPr>
        <w:spacing w:line="240" w:lineRule="auto"/>
        <w:ind w:firstLine="420" w:firstLineChars="200"/>
      </w:pPr>
      <w:r>
        <w:rPr>
          <w:rFonts w:hint="eastAsia"/>
        </w:rPr>
        <w:t>支持白光报警功能，当报警产生时，可触发联动白光闪烁。（公安部检验报告证明）</w:t>
      </w:r>
    </w:p>
    <w:p>
      <w:pPr>
        <w:spacing w:line="240" w:lineRule="auto"/>
        <w:ind w:firstLine="420" w:firstLineChars="200"/>
      </w:pPr>
      <w:r>
        <w:rPr>
          <w:rFonts w:hint="eastAsia"/>
        </w:rPr>
        <w:t>最低照度彩色：0.0005 lx ，最大亮度鉴别等级（灰度等级）不小于11级。（公安部检验报告证明）</w:t>
      </w:r>
    </w:p>
    <w:p>
      <w:pPr>
        <w:spacing w:line="240" w:lineRule="auto"/>
        <w:ind w:firstLine="420" w:firstLineChars="200"/>
      </w:pPr>
      <w:r>
        <w:rPr>
          <w:rFonts w:hint="eastAsia"/>
        </w:rPr>
        <w:t>白光补光距离不小于15米。（公安部检验报告证明）</w:t>
      </w:r>
    </w:p>
    <w:p>
      <w:pPr>
        <w:spacing w:line="240" w:lineRule="auto"/>
        <w:ind w:firstLine="420" w:firstLineChars="200"/>
      </w:pPr>
      <w:r>
        <w:rPr>
          <w:rFonts w:hint="eastAsia"/>
        </w:rPr>
        <w:t>需支持双码流技术，主码流最高1920x1080@25fps，子码流704x576@25fps。</w:t>
      </w:r>
    </w:p>
    <w:p>
      <w:pPr>
        <w:spacing w:line="240" w:lineRule="auto"/>
        <w:ind w:firstLine="420" w:firstLineChars="200"/>
      </w:pPr>
      <w:r>
        <w:rPr>
          <w:rFonts w:hint="eastAsia"/>
        </w:rPr>
        <w:t>在1920x1080 @ 25fps下，清晰度不小于1100TVL。</w:t>
      </w:r>
    </w:p>
    <w:p>
      <w:pPr>
        <w:spacing w:line="240" w:lineRule="auto"/>
        <w:ind w:firstLine="420" w:firstLineChars="200"/>
      </w:pPr>
      <w:r>
        <w:rPr>
          <w:rFonts w:hint="eastAsia"/>
        </w:rPr>
        <w:t>支持H.264、H.265视频编码格式，且具有High Profile编码能力。（公安部检验报告证明）</w:t>
      </w:r>
    </w:p>
    <w:p>
      <w:pPr>
        <w:spacing w:line="240" w:lineRule="auto"/>
        <w:ind w:firstLine="420" w:firstLineChars="200"/>
      </w:pPr>
      <w:r>
        <w:rPr>
          <w:rFonts w:hint="eastAsia"/>
        </w:rPr>
        <w:t>需具备区域入侵检测、越界检测、进入区域、离开区域等功能。（公安部检验报告证明）</w:t>
      </w:r>
    </w:p>
    <w:p>
      <w:pPr>
        <w:spacing w:line="240" w:lineRule="auto"/>
        <w:ind w:firstLine="420" w:firstLineChars="200"/>
      </w:pPr>
      <w:r>
        <w:rPr>
          <w:rFonts w:hint="eastAsia"/>
        </w:rPr>
        <w:t>需支持DC12V/POE供电。（公安部检验报告证明）</w:t>
      </w:r>
    </w:p>
    <w:p>
      <w:pPr>
        <w:spacing w:line="240" w:lineRule="auto"/>
        <w:ind w:firstLine="420" w:firstLineChars="200"/>
      </w:pPr>
      <w:r>
        <w:rPr>
          <w:rFonts w:hint="eastAsia"/>
        </w:rPr>
        <w:t>同一静止场景相同图像质量下，设备在H.265编码方式时，开启智能编码功能和不开启智能编码相比，码率节约80%。（公安部检验报告证明）</w:t>
      </w:r>
    </w:p>
    <w:p>
      <w:pPr>
        <w:spacing w:line="240" w:lineRule="auto"/>
        <w:ind w:firstLine="420" w:firstLineChars="200"/>
      </w:pPr>
      <w:r>
        <w:rPr>
          <w:rFonts w:hint="eastAsia"/>
        </w:rPr>
        <w:t>产品具备国家密码管理局认证通过的《商用密码产品认证证书》</w:t>
      </w:r>
    </w:p>
    <w:p>
      <w:pPr>
        <w:spacing w:line="240" w:lineRule="auto"/>
        <w:ind w:firstLine="420" w:firstLineChars="200"/>
      </w:pPr>
    </w:p>
    <w:p>
      <w:pPr>
        <w:pStyle w:val="2"/>
        <w:spacing w:before="120" w:after="120"/>
      </w:pPr>
      <w:r>
        <w:rPr>
          <w:rFonts w:hint="eastAsia"/>
        </w:rPr>
        <w:t>机房网络通信及安全</w:t>
      </w:r>
    </w:p>
    <w:p>
      <w:pPr>
        <w:pStyle w:val="5"/>
        <w:spacing w:before="120" w:after="120"/>
        <w:rPr>
          <w:rFonts w:hint="eastAsia"/>
        </w:rPr>
      </w:pPr>
      <w:r>
        <w:rPr>
          <w:rFonts w:hint="eastAsia"/>
        </w:rPr>
        <w:t>机房通信设备交换机设备技术要求如下：</w:t>
      </w:r>
    </w:p>
    <w:p>
      <w:pPr>
        <w:pStyle w:val="6"/>
        <w:spacing w:before="120"/>
        <w:rPr>
          <w:rFonts w:hint="eastAsia"/>
        </w:rPr>
      </w:pPr>
      <w:r>
        <w:t>内网汇聚交换机</w:t>
      </w:r>
    </w:p>
    <w:p>
      <w:pPr>
        <w:spacing w:line="240" w:lineRule="auto"/>
        <w:ind w:firstLine="420"/>
      </w:pPr>
      <w:r>
        <w:rPr>
          <w:rFonts w:hint="eastAsia"/>
        </w:rPr>
        <w:t>1.交换容量≥47Tbps，包转发率≥10065Mpps。</w:t>
      </w:r>
    </w:p>
    <w:p>
      <w:pPr>
        <w:spacing w:line="240" w:lineRule="auto"/>
        <w:ind w:firstLine="420"/>
      </w:pPr>
      <w:r>
        <w:rPr>
          <w:rFonts w:hint="eastAsia"/>
        </w:rPr>
        <w:t>2.主控引擎与业务板卡完全物理分离, 采用全分布式转发处理架构，独立主控引擎插槽≥2个，独立业务插槽数≥3个；</w:t>
      </w:r>
    </w:p>
    <w:p>
      <w:pPr>
        <w:spacing w:line="240" w:lineRule="auto"/>
        <w:ind w:firstLine="420"/>
      </w:pPr>
      <w:r>
        <w:rPr>
          <w:rFonts w:hint="eastAsia"/>
        </w:rPr>
        <w:t>3.支持主从引擎等关键模块，在转发数据流的期间进行热插拔零丢包；提供具有CMA或CAL或CNAS认证章的第三方权威机构检验报告证明。</w:t>
      </w:r>
    </w:p>
    <w:p>
      <w:pPr>
        <w:spacing w:line="240" w:lineRule="auto"/>
        <w:ind w:firstLine="420"/>
      </w:pPr>
      <w:r>
        <w:rPr>
          <w:rFonts w:hint="eastAsia"/>
        </w:rPr>
        <w:t>4.设备支持硬件健康状态可视化，可以对风扇状态、电源、温度、板载电压进行监控，尤其是在日常巡查中发现电压异常前兆，可及时处理，避免出现电压异常宕机。提供具有CMA或CAL或CNAS认证章的第三方权威机构检验报告证明。</w:t>
      </w:r>
    </w:p>
    <w:p>
      <w:pPr>
        <w:spacing w:line="240" w:lineRule="auto"/>
        <w:ind w:firstLine="420"/>
      </w:pPr>
      <w:r>
        <w:rPr>
          <w:rFonts w:hint="eastAsia"/>
        </w:rPr>
        <w:t>5.支持硬件层级双boot，采用两个FLASH芯片存储boot软件（系统引导程序），实现硬件级boot冗余备份，避免因FLASH芯片故障导致交换机无法启动。</w:t>
      </w:r>
    </w:p>
    <w:p>
      <w:pPr>
        <w:spacing w:line="240" w:lineRule="auto"/>
        <w:ind w:firstLine="420"/>
      </w:pPr>
      <w:r>
        <w:rPr>
          <w:rFonts w:hint="eastAsia"/>
        </w:rPr>
        <w:t>6.支持N:1虚拟化：可将2台物理设备虚拟化为1台逻辑设备，查看所有设备的设备信息、接口信息，支持一键升级，且转发数据流时出现链路故障，造成的断流时间最快＜5ms。</w:t>
      </w:r>
    </w:p>
    <w:p>
      <w:pPr>
        <w:spacing w:line="240" w:lineRule="auto"/>
        <w:ind w:firstLine="420"/>
      </w:pPr>
      <w:r>
        <w:rPr>
          <w:rFonts w:hint="eastAsia"/>
        </w:rPr>
        <w:t>7.支持VXLAN桥模式，VXLAN路由模式，支持MP-BGP EVPN。</w:t>
      </w:r>
    </w:p>
    <w:p>
      <w:pPr>
        <w:spacing w:line="240" w:lineRule="auto"/>
        <w:ind w:firstLine="420"/>
      </w:pPr>
      <w:r>
        <w:rPr>
          <w:rFonts w:hint="eastAsia"/>
        </w:rPr>
        <w:t>8.支持IEEE 802.1d(STP)、 802.1w(RSTP)、 802.1s(MSTP)，支持端口聚合，支持一对一镜像、多对一镜像、一对多镜像，支持流镜像，支持SPAN、RSPAN远程镜像。</w:t>
      </w:r>
    </w:p>
    <w:p>
      <w:pPr>
        <w:spacing w:line="240" w:lineRule="auto"/>
        <w:ind w:firstLine="420"/>
      </w:pPr>
      <w:r>
        <w:rPr>
          <w:rFonts w:hint="eastAsia"/>
        </w:rPr>
        <w:t>9.持静态路由、RIP、RIPng、OSPF、OSPFv3、BGP、BGP4+、ISIS、ISISv6，支持路由协议多实例，支持GR for OSPF/IS-IS/BGP，支持策略路由。</w:t>
      </w:r>
    </w:p>
    <w:p>
      <w:pPr>
        <w:spacing w:line="240" w:lineRule="auto"/>
        <w:ind w:firstLine="420"/>
      </w:pPr>
      <w:r>
        <w:rPr>
          <w:rFonts w:hint="eastAsia"/>
        </w:rPr>
        <w:t>10.支持专门针对CPU保护机制的功能，可将送CPU的报文，如ARP报文的速率进行限制，保障了CPU安全。</w:t>
      </w:r>
    </w:p>
    <w:p>
      <w:pPr>
        <w:spacing w:line="240" w:lineRule="auto"/>
        <w:ind w:firstLine="420"/>
      </w:pPr>
      <w:r>
        <w:rPr>
          <w:rFonts w:hint="eastAsia"/>
        </w:rPr>
        <w:t>11.支持基础安全保护策略，可实现ARP等各种攻击的自动防御，保护系统各种服务的正常运行。</w:t>
      </w:r>
    </w:p>
    <w:p>
      <w:pPr>
        <w:spacing w:line="240" w:lineRule="auto"/>
        <w:ind w:firstLine="420"/>
      </w:pPr>
      <w:r>
        <w:rPr>
          <w:rFonts w:hint="eastAsia"/>
        </w:rPr>
        <w:t>12.为保证IPv6的可部署性和应用性，所投交换机需具备IPv6 Ready Phase2认证证书。</w:t>
      </w:r>
    </w:p>
    <w:p>
      <w:pPr>
        <w:spacing w:line="240" w:lineRule="auto"/>
        <w:ind w:firstLine="420" w:firstLineChars="200"/>
      </w:pPr>
      <w:r>
        <w:rPr>
          <w:rFonts w:hint="eastAsia"/>
        </w:rPr>
        <w:t>13.配置≥2块高性能引擎板卡，≥2块交流电源模块；配置≥32个万兆以太网光口（含光模块），预留扩展槽支持后续扩展40G/100G板卡；配置≥1条3M堆叠线缆（含光模块）。</w:t>
      </w:r>
    </w:p>
    <w:p>
      <w:pPr>
        <w:pStyle w:val="6"/>
        <w:spacing w:before="120"/>
        <w:rPr>
          <w:rFonts w:hint="eastAsia"/>
        </w:rPr>
      </w:pPr>
      <w:r>
        <w:t>内网万兆接入交换机</w:t>
      </w:r>
    </w:p>
    <w:p>
      <w:pPr>
        <w:spacing w:line="240" w:lineRule="auto"/>
        <w:ind w:firstLine="420" w:firstLineChars="200"/>
      </w:pPr>
      <w:r>
        <w:t>1.</w:t>
      </w:r>
      <w:r>
        <w:rPr>
          <w:rFonts w:hint="eastAsia"/>
        </w:rPr>
        <w:t>支持并实配10G/1G SFP+接口数≥20个，25G/10G SFP28接口数量≥4个，40G QSFP+接口数≥2个。</w:t>
      </w:r>
    </w:p>
    <w:p>
      <w:pPr>
        <w:spacing w:line="240" w:lineRule="auto"/>
        <w:ind w:firstLine="420" w:firstLineChars="200"/>
      </w:pPr>
      <w:r>
        <w:rPr>
          <w:rFonts w:hint="eastAsia"/>
        </w:rPr>
        <w:t>2.支持可拔插双模块化电源，可拔插双模块化风扇，前后风道。</w:t>
      </w:r>
    </w:p>
    <w:p>
      <w:pPr>
        <w:spacing w:line="240" w:lineRule="auto"/>
        <w:ind w:firstLine="420" w:firstLineChars="200"/>
      </w:pPr>
      <w:r>
        <w:rPr>
          <w:rFonts w:hint="eastAsia"/>
        </w:rPr>
        <w:t>3. 交换容量≥2.56T，包转发率≥570Mpps。</w:t>
      </w:r>
    </w:p>
    <w:p>
      <w:pPr>
        <w:spacing w:line="240" w:lineRule="auto"/>
        <w:ind w:firstLine="420" w:firstLineChars="200"/>
      </w:pPr>
      <w:r>
        <w:rPr>
          <w:rFonts w:hint="eastAsia"/>
        </w:rPr>
        <w:t>4.支持硬件健康状态可视化，可以对风扇状态、电源、温度、板载电压进行监控，尤其是在日常巡查中发现电压异常前兆，可及时处理，避免出现电压异常宕机；提供官网截图和链接证明。支持硬件层级双boot，采用两个FLASH芯片存储boot软件（系统引导程序），实现硬件级boot冗余备份，避免因FLASH芯片故障导致交换机无法启动；提供官网截图和链接证明。设备支持故障隔离技术，用于监测光模块状态，一旦出现故障，可马上识别、并将故障模块隔离，确保不影响其它端口和整机的正常运行，更换模块后该端口也可马上恢复正常工作；提供官网截图和链接证明。</w:t>
      </w:r>
    </w:p>
    <w:p>
      <w:pPr>
        <w:spacing w:line="240" w:lineRule="auto"/>
        <w:ind w:firstLine="420" w:firstLineChars="200"/>
      </w:pPr>
      <w:r>
        <w:rPr>
          <w:rFonts w:hint="eastAsia"/>
        </w:rPr>
        <w:t>5.支持RIP，OSPF，BGP，RIPng，OSPFv3，BGP4+。</w:t>
      </w:r>
    </w:p>
    <w:p>
      <w:pPr>
        <w:spacing w:line="240" w:lineRule="auto"/>
        <w:ind w:firstLine="420" w:firstLineChars="200"/>
      </w:pPr>
      <w:r>
        <w:rPr>
          <w:rFonts w:hint="eastAsia"/>
        </w:rPr>
        <w:t>6.支持虚拟化功能，可将多台物理设备虚拟化为一台逻辑设备统一管理，并且链路故障的收敛时间最快50ms。</w:t>
      </w:r>
    </w:p>
    <w:p>
      <w:pPr>
        <w:spacing w:line="240" w:lineRule="auto"/>
        <w:ind w:firstLine="420" w:firstLineChars="200"/>
      </w:pPr>
      <w:r>
        <w:rPr>
          <w:rFonts w:hint="eastAsia"/>
        </w:rPr>
        <w:t>7.支持CPU保护功能，能够针对发往CPU处理的各种报文进行流区分和优先级队列分级处理，保护交换机在各种环境下稳定工作。</w:t>
      </w:r>
    </w:p>
    <w:p>
      <w:pPr>
        <w:pStyle w:val="6"/>
        <w:spacing w:before="120"/>
        <w:rPr>
          <w:rFonts w:hint="eastAsia"/>
        </w:rPr>
      </w:pPr>
      <w:r>
        <w:t>内网千兆接入交换机</w:t>
      </w:r>
    </w:p>
    <w:p>
      <w:pPr>
        <w:spacing w:line="240" w:lineRule="auto"/>
        <w:ind w:firstLine="420" w:firstLineChars="200"/>
      </w:pPr>
      <w:r>
        <w:rPr>
          <w:rFonts w:hint="eastAsia"/>
        </w:rPr>
        <w:t>1.交换容量≥432Gbps，包转发率≥166Mpps。</w:t>
      </w:r>
    </w:p>
    <w:p>
      <w:pPr>
        <w:spacing w:line="240" w:lineRule="auto"/>
        <w:ind w:firstLine="420" w:firstLineChars="200"/>
      </w:pPr>
      <w:r>
        <w:rPr>
          <w:rFonts w:hint="eastAsia"/>
        </w:rPr>
        <w:t>2.固化10/100/1000M自适应以太网端口≥48个，固化1G/10G SFP+接口≥4个</w:t>
      </w:r>
    </w:p>
    <w:p>
      <w:pPr>
        <w:spacing w:line="240" w:lineRule="auto"/>
        <w:ind w:firstLine="420" w:firstLineChars="200"/>
      </w:pPr>
      <w:r>
        <w:rPr>
          <w:rFonts w:hint="eastAsia"/>
        </w:rPr>
        <w:t>3.设备MAC地址≥16K</w:t>
      </w:r>
    </w:p>
    <w:p>
      <w:pPr>
        <w:spacing w:line="240" w:lineRule="auto"/>
        <w:ind w:firstLine="420" w:firstLineChars="200"/>
      </w:pPr>
      <w:r>
        <w:rPr>
          <w:rFonts w:hint="eastAsia"/>
        </w:rPr>
        <w:t>4.支持IPv4和IPv6的静态路由、RIP/RIPng、OSPFv2/OSPFv3等三层路由协议。</w:t>
      </w:r>
    </w:p>
    <w:p>
      <w:pPr>
        <w:spacing w:line="240" w:lineRule="auto"/>
        <w:ind w:firstLine="420" w:firstLineChars="200"/>
      </w:pPr>
      <w:r>
        <w:rPr>
          <w:rFonts w:hint="eastAsia"/>
        </w:rPr>
        <w:t>5.要求所投设备支持1对1、基于流、基于VLAN的镜像；支持RSPAN</w:t>
      </w:r>
    </w:p>
    <w:p>
      <w:pPr>
        <w:spacing w:line="240" w:lineRule="auto"/>
        <w:ind w:firstLine="420" w:firstLineChars="200"/>
      </w:pPr>
      <w:r>
        <w:rPr>
          <w:rFonts w:hint="eastAsia"/>
        </w:rPr>
        <w:t>6.支持CPU保护功能，能限制非法报文对CPU的攻击，保护交换机在各种环境下稳定工作。</w:t>
      </w:r>
    </w:p>
    <w:p>
      <w:pPr>
        <w:spacing w:line="240" w:lineRule="auto"/>
        <w:ind w:firstLine="420" w:firstLineChars="200"/>
      </w:pPr>
      <w:r>
        <w:rPr>
          <w:rFonts w:hint="eastAsia"/>
        </w:rPr>
        <w:t>7.支持专门基础网络保护机制，能够限制用户向网络中发送数据包的速率，对有攻击行为的用户进行隔离，保证设备和整网的安全稳定运行，提供官网截图和链接证明。</w:t>
      </w:r>
    </w:p>
    <w:p>
      <w:pPr>
        <w:pStyle w:val="6"/>
        <w:spacing w:before="120"/>
        <w:rPr>
          <w:rFonts w:hint="eastAsia"/>
        </w:rPr>
      </w:pPr>
      <w:r>
        <w:t>外网千兆接入交换机</w:t>
      </w:r>
    </w:p>
    <w:p>
      <w:pPr>
        <w:spacing w:line="240" w:lineRule="auto"/>
        <w:ind w:firstLine="420" w:firstLineChars="200"/>
      </w:pPr>
      <w:r>
        <w:rPr>
          <w:rFonts w:hint="eastAsia"/>
        </w:rPr>
        <w:t>1.交换容量≥336Gbps，包转发率≥126Mpps。</w:t>
      </w:r>
    </w:p>
    <w:p>
      <w:pPr>
        <w:spacing w:line="240" w:lineRule="auto"/>
        <w:ind w:firstLine="420" w:firstLineChars="200"/>
      </w:pPr>
      <w:r>
        <w:rPr>
          <w:rFonts w:hint="eastAsia"/>
        </w:rPr>
        <w:t>2.固化10/100/1000M以太网端口≥24，1G/10G SFP+光接口≥4个；</w:t>
      </w:r>
    </w:p>
    <w:p>
      <w:pPr>
        <w:spacing w:line="240" w:lineRule="auto"/>
        <w:ind w:firstLine="420" w:firstLineChars="200"/>
      </w:pPr>
      <w:r>
        <w:rPr>
          <w:rFonts w:hint="eastAsia"/>
        </w:rPr>
        <w:t>3.要求所投设备MAC地址≥16K。</w:t>
      </w:r>
    </w:p>
    <w:p>
      <w:pPr>
        <w:spacing w:line="240" w:lineRule="auto"/>
        <w:ind w:firstLine="420" w:firstLineChars="200"/>
      </w:pPr>
      <w:r>
        <w:rPr>
          <w:rFonts w:hint="eastAsia"/>
        </w:rPr>
        <w:t>4.支持IPv4和IPv6的静态路由、RIP/RIPng、OSPFv2/OSPFv3等三层路由协议。</w:t>
      </w:r>
    </w:p>
    <w:p>
      <w:pPr>
        <w:spacing w:line="240" w:lineRule="auto"/>
        <w:ind w:firstLine="420" w:firstLineChars="200"/>
      </w:pPr>
      <w:r>
        <w:rPr>
          <w:rFonts w:hint="eastAsia"/>
        </w:rPr>
        <w:t>5.要求所投设备支持1对1、基于流、基于VLAN的镜像；支持RSPAN</w:t>
      </w:r>
    </w:p>
    <w:p>
      <w:pPr>
        <w:spacing w:line="240" w:lineRule="auto"/>
        <w:ind w:firstLine="420" w:firstLineChars="200"/>
      </w:pPr>
      <w:r>
        <w:rPr>
          <w:rFonts w:hint="eastAsia"/>
        </w:rPr>
        <w:t>6.支持CPU保护功能，能限制非法报文对CPU的攻击，保护交换机在各种环境下稳定工作。</w:t>
      </w:r>
    </w:p>
    <w:p>
      <w:pPr>
        <w:spacing w:line="240" w:lineRule="auto"/>
        <w:ind w:firstLine="420" w:firstLineChars="200"/>
      </w:pPr>
      <w:r>
        <w:rPr>
          <w:rFonts w:hint="eastAsia"/>
        </w:rPr>
        <w:t>7.支持专门基础网络保护机制，能够限制用户向网络中发送数据包的速率，对有攻击行为的用户进行隔离，保证设备和整网的安全稳定运行，提供官网截图和链接证明。</w:t>
      </w:r>
    </w:p>
    <w:p>
      <w:pPr>
        <w:pStyle w:val="6"/>
        <w:spacing w:before="120"/>
        <w:rPr>
          <w:rFonts w:hint="eastAsia"/>
        </w:rPr>
      </w:pPr>
      <w:r>
        <w:rPr>
          <w:rFonts w:hint="eastAsia"/>
        </w:rPr>
        <w:t xml:space="preserve"> </w:t>
      </w:r>
      <w:r>
        <w:t>外网万兆交换机</w:t>
      </w:r>
    </w:p>
    <w:p>
      <w:pPr>
        <w:spacing w:line="240" w:lineRule="auto"/>
        <w:ind w:firstLine="420" w:firstLineChars="200"/>
      </w:pPr>
      <w:r>
        <w:rPr>
          <w:rFonts w:hint="eastAsia"/>
        </w:rPr>
        <w:t>1.支持并实配10G/1G SFP+接口数≥20个，25G/10G SFP28接口数量≥4个，40G QSFP+接口数≥2个。</w:t>
      </w:r>
    </w:p>
    <w:p>
      <w:pPr>
        <w:spacing w:line="240" w:lineRule="auto"/>
        <w:ind w:firstLine="420" w:firstLineChars="200"/>
      </w:pPr>
      <w:r>
        <w:rPr>
          <w:rFonts w:hint="eastAsia"/>
        </w:rPr>
        <w:t>2.支持可拔插双模块化电源，可拔插双模块化风扇，前后风道。</w:t>
      </w:r>
    </w:p>
    <w:p>
      <w:pPr>
        <w:spacing w:line="240" w:lineRule="auto"/>
        <w:ind w:firstLine="420" w:firstLineChars="200"/>
      </w:pPr>
      <w:r>
        <w:rPr>
          <w:rFonts w:hint="eastAsia"/>
        </w:rPr>
        <w:t>3.交换容量≥2.56T，包转发率≥570Mpps。</w:t>
      </w:r>
    </w:p>
    <w:p>
      <w:pPr>
        <w:spacing w:line="240" w:lineRule="auto"/>
        <w:ind w:firstLine="420" w:firstLineChars="200"/>
      </w:pPr>
      <w:r>
        <w:rPr>
          <w:rFonts w:hint="eastAsia"/>
        </w:rPr>
        <w:t>4.支持硬件健康状态可视化，可以对风扇状态、电源、温度、板载电压进行监控，尤其是在日常巡查中发现电压异常前兆，可及时处理，避免出现电压异常宕机；提供官网截图和链接证明。支持硬件层级双boot，采用两个FLASH芯片存储boot软件（系统引导程序），实现硬件级boot冗余备份，避免因FLASH芯片故障导致交换机无法启动；提供官网截图和链接证明。设备支持故障隔离技术，用于监测光模块状态，一旦出现故障，可马上识别、并将故障模块隔离，确保不影响其它端口和整机的正常运行，更换模块后该端口也可马上恢复正常工作；提供官网截图和链接证明。</w:t>
      </w:r>
    </w:p>
    <w:p>
      <w:pPr>
        <w:spacing w:line="240" w:lineRule="auto"/>
        <w:ind w:firstLine="420" w:firstLineChars="200"/>
      </w:pPr>
      <w:r>
        <w:rPr>
          <w:rFonts w:hint="eastAsia"/>
        </w:rPr>
        <w:t>5.支持RIP，OSPF，BGP，RIPng，OSPFv3，BGP4+。</w:t>
      </w:r>
    </w:p>
    <w:p>
      <w:pPr>
        <w:spacing w:line="240" w:lineRule="auto"/>
        <w:ind w:firstLine="420" w:firstLineChars="200"/>
      </w:pPr>
      <w:r>
        <w:rPr>
          <w:rFonts w:hint="eastAsia"/>
        </w:rPr>
        <w:t>6.支持虚拟化功能，可将多台物理设备虚拟化为一台逻辑设备统一管理，并且链路故障的收敛时间最快50ms。</w:t>
      </w:r>
    </w:p>
    <w:p>
      <w:pPr>
        <w:spacing w:line="240" w:lineRule="auto"/>
        <w:ind w:firstLine="420" w:firstLineChars="200"/>
      </w:pPr>
      <w:r>
        <w:rPr>
          <w:rFonts w:hint="eastAsia"/>
        </w:rPr>
        <w:t>7.支持CPU保护功能，能够针对发往CPU处理的各种报文进行流区分和优先级队列分级处理，保护交换机在各种环境下稳定工作。</w:t>
      </w:r>
    </w:p>
    <w:p>
      <w:pPr>
        <w:spacing w:line="240" w:lineRule="auto"/>
        <w:ind w:firstLine="420" w:firstLineChars="200"/>
      </w:pPr>
      <w:r>
        <w:rPr>
          <w:rFonts w:hint="eastAsia"/>
        </w:rPr>
        <w:t>8.支持专门基础网络保护机制，能够限制用户向网络中发送数据包的速率，对有攻击行为的用户进行隔离，保证设备和整网的安全稳定运行；</w:t>
      </w:r>
    </w:p>
    <w:p>
      <w:pPr>
        <w:pStyle w:val="6"/>
        <w:spacing w:before="120"/>
        <w:rPr>
          <w:rFonts w:hint="eastAsia"/>
        </w:rPr>
      </w:pPr>
      <w:r>
        <w:rPr>
          <w:rFonts w:hint="eastAsia"/>
        </w:rPr>
        <w:t xml:space="preserve"> </w:t>
      </w:r>
      <w:r>
        <w:t>外网现机房电口汇聚交换机</w:t>
      </w:r>
    </w:p>
    <w:p>
      <w:pPr>
        <w:spacing w:line="240" w:lineRule="auto"/>
        <w:ind w:firstLine="420" w:firstLineChars="200"/>
      </w:pPr>
      <w:r>
        <w:rPr>
          <w:rFonts w:hint="eastAsia"/>
        </w:rPr>
        <w:t>1.交换容量≥1.36Tbps，包转发率≥252Mpps。</w:t>
      </w:r>
    </w:p>
    <w:p>
      <w:pPr>
        <w:spacing w:line="240" w:lineRule="auto"/>
        <w:ind w:firstLine="420" w:firstLineChars="200"/>
      </w:pPr>
      <w:r>
        <w:rPr>
          <w:rFonts w:hint="eastAsia"/>
        </w:rPr>
        <w:t>2.固化端口：≥48个10/100/1000Mbps电口，≥4个SFP+光口，支持全端口100%线速转发。</w:t>
      </w:r>
    </w:p>
    <w:p>
      <w:pPr>
        <w:spacing w:line="240" w:lineRule="auto"/>
        <w:ind w:firstLine="420" w:firstLineChars="200"/>
      </w:pPr>
      <w:r>
        <w:rPr>
          <w:rFonts w:hint="eastAsia"/>
        </w:rPr>
        <w:t>3.设备预留≥2个扩展槽，提供官网截图。</w:t>
      </w:r>
    </w:p>
    <w:p>
      <w:pPr>
        <w:spacing w:line="240" w:lineRule="auto"/>
        <w:ind w:firstLine="420" w:firstLineChars="200"/>
      </w:pPr>
      <w:r>
        <w:rPr>
          <w:rFonts w:hint="eastAsia"/>
        </w:rPr>
        <w:t>4.整机采用绿色环保设计，满负荷情况下功耗≤50W。为防止端口占用风道空间，导致进风截面积小阻抗大，采用左右风道设计，提升风扇效率和系统散热效果。长期工作温度0-50°。</w:t>
      </w:r>
    </w:p>
    <w:p>
      <w:pPr>
        <w:spacing w:line="240" w:lineRule="auto"/>
        <w:ind w:firstLine="420" w:firstLineChars="200"/>
      </w:pPr>
      <w:r>
        <w:rPr>
          <w:rFonts w:hint="eastAsia"/>
        </w:rPr>
        <w:t>5.要求所投设备MAC地址≥64K，ARP表项≥20K，FIB表项≥12K。</w:t>
      </w:r>
    </w:p>
    <w:p>
      <w:pPr>
        <w:spacing w:line="240" w:lineRule="auto"/>
        <w:ind w:firstLine="420" w:firstLineChars="200"/>
      </w:pPr>
      <w:r>
        <w:rPr>
          <w:rFonts w:hint="eastAsia"/>
        </w:rPr>
        <w:t>6.支持RIP，OSPF，BGP，RIPng，OSPFv3，BGP4+。支持IGMP v1/v2/v3，IGMP v1/v2/v3 Snooping，支持PIM-DM，PIM-SM，PIM-SSM，PIM for IPv6 。</w:t>
      </w:r>
    </w:p>
    <w:p>
      <w:pPr>
        <w:spacing w:line="240" w:lineRule="auto"/>
        <w:ind w:firstLine="420" w:firstLineChars="200"/>
      </w:pPr>
      <w:r>
        <w:rPr>
          <w:rFonts w:hint="eastAsia"/>
        </w:rPr>
        <w:t>7.支持专门针对CPU保护机制，可将送CPU的报文，如ARP报文的速率进行限制，使CPU的使用率降低到15%以内，保障了CPU安全，投标时提供具有CMA或CNAS认证章的第三方权威机构检验报告证明。</w:t>
      </w:r>
    </w:p>
    <w:p>
      <w:pPr>
        <w:spacing w:line="240" w:lineRule="auto"/>
        <w:ind w:firstLine="420" w:firstLineChars="200"/>
      </w:pPr>
      <w:r>
        <w:rPr>
          <w:rFonts w:hint="eastAsia"/>
        </w:rPr>
        <w:t>8.支持专门基础网络保护机制，能够限制用户向网络中发送数据包的速率，对有攻击行为的用户进行隔离，保证设备和整网的安全稳定运行</w:t>
      </w:r>
    </w:p>
    <w:p>
      <w:pPr>
        <w:spacing w:line="240" w:lineRule="auto"/>
        <w:ind w:firstLine="420" w:firstLineChars="200"/>
      </w:pPr>
      <w:r>
        <w:rPr>
          <w:rFonts w:hint="eastAsia"/>
        </w:rPr>
        <w:t>9.要求所投产品支持sFlow网络监测技术，投标时提供具有 CMA或CNAS认证章的第三方权威机构检验报告证明。所投交换机需支持OpenFlow 1.3协议，提供权威机构的检测证书。符合国家低碳环保等政策要求，支持IEEE 802.3az标准的EEE节能技术，以国际权威评测机构的第三方测试报告为准。</w:t>
      </w:r>
    </w:p>
    <w:p>
      <w:pPr>
        <w:spacing w:line="240" w:lineRule="auto"/>
        <w:ind w:firstLine="420" w:firstLineChars="200"/>
      </w:pPr>
      <w:r>
        <w:rPr>
          <w:rFonts w:hint="eastAsia"/>
        </w:rPr>
        <w:t>10.支持ITU-TG.8032国际公有环网协议ERPS,并且链路故障的收敛时间≤50ms。</w:t>
      </w:r>
    </w:p>
    <w:p>
      <w:pPr>
        <w:pStyle w:val="6"/>
        <w:spacing w:before="120"/>
        <w:rPr>
          <w:rFonts w:hint="eastAsia"/>
        </w:rPr>
      </w:pPr>
      <w:r>
        <w:rPr>
          <w:rFonts w:hint="eastAsia"/>
        </w:rPr>
        <w:t>服务要求</w:t>
      </w:r>
    </w:p>
    <w:p>
      <w:pPr>
        <w:spacing w:line="240" w:lineRule="auto"/>
        <w:ind w:firstLine="420" w:firstLineChars="200"/>
      </w:pPr>
      <w:r>
        <w:rPr>
          <w:rFonts w:hint="eastAsia"/>
        </w:rPr>
        <w:t>本次项目配置的网络设备应提供网络管理接口，与运维管理平台管理实现对接纳管，由运维管理平台对设备实现统一管理运维。若供应商提供的网络设备无法与运维管理平台对接，应由供应商提供二次开发，保障院内运维管理平台统一运维管理要求。</w:t>
      </w:r>
    </w:p>
    <w:p>
      <w:pPr>
        <w:spacing w:line="240" w:lineRule="auto"/>
        <w:ind w:firstLine="420" w:firstLineChars="200"/>
      </w:pPr>
      <w:r>
        <w:rPr>
          <w:rFonts w:hint="eastAsia"/>
        </w:rPr>
        <w:t>项目实施中提供具备专业认证的工程师提供网络运维管理对接调试服务，并按要求做好响应管理策略。项目实施期间实施工程师应提供所投网络设备和网络运维管理平台原厂认证证书，否则不允许实施。</w:t>
      </w:r>
    </w:p>
    <w:p>
      <w:pPr>
        <w:pStyle w:val="5"/>
        <w:spacing w:before="120" w:after="120"/>
        <w:rPr>
          <w:rFonts w:hint="eastAsia"/>
        </w:rPr>
      </w:pPr>
      <w:r>
        <w:rPr>
          <w:rFonts w:hint="eastAsia"/>
        </w:rPr>
        <w:t>机房安全设备防火墙设备技术要求如下</w:t>
      </w:r>
    </w:p>
    <w:p>
      <w:pPr>
        <w:pStyle w:val="6"/>
        <w:spacing w:before="120"/>
        <w:rPr>
          <w:rFonts w:hint="eastAsia"/>
        </w:rPr>
      </w:pPr>
      <w:r>
        <w:rPr>
          <w:rFonts w:hint="eastAsia"/>
        </w:rPr>
        <w:t>安全产品防火墙</w:t>
      </w:r>
    </w:p>
    <w:p>
      <w:pPr>
        <w:spacing w:line="240" w:lineRule="auto"/>
        <w:ind w:firstLine="420" w:firstLineChars="200"/>
      </w:pPr>
      <w:r>
        <w:rPr>
          <w:rFonts w:hint="eastAsia"/>
        </w:rPr>
        <w:t>1.2U设备，冗余电源；采用国产化平台和国产化操作系统，内存≥64G，硬盘≥4T，SSD硬盘≥128G；至少提供2个千兆电口、8个万兆光口，4个40G接口，1个接口扩展插槽、1个RJ45串口、2个USB接口；多模万兆模块≥8个，40G多模模块≥4个，三年硬件保修，三年IPS许可，三年防病毒许可。</w:t>
      </w:r>
    </w:p>
    <w:p>
      <w:pPr>
        <w:spacing w:line="240" w:lineRule="auto"/>
        <w:ind w:firstLine="420" w:firstLineChars="200"/>
      </w:pPr>
      <w:r>
        <w:rPr>
          <w:rFonts w:hint="eastAsia"/>
        </w:rPr>
        <w:t>2.系统吞吐量≥160Gbps，应用吞吐量≥20Gbps，最大并发连接数≥4000万，每秒新建连接数≥50万；</w:t>
      </w:r>
    </w:p>
    <w:p>
      <w:pPr>
        <w:spacing w:line="240" w:lineRule="auto"/>
        <w:ind w:firstLine="420" w:firstLineChars="200"/>
      </w:pPr>
      <w:r>
        <w:rPr>
          <w:rFonts w:hint="eastAsia"/>
        </w:rPr>
        <w:t>3.支持多系统（≥3个）引导，可在WEB界面上直接配置启动顺序，除恢复系统之外，还可在WEB界面完整备份当前系统，可导入导出配置各类文件，提供相关功能截图；</w:t>
      </w:r>
    </w:p>
    <w:p>
      <w:pPr>
        <w:spacing w:line="240" w:lineRule="auto"/>
        <w:ind w:firstLine="420" w:firstLineChars="200"/>
      </w:pPr>
      <w:r>
        <w:rPr>
          <w:rFonts w:hint="eastAsia"/>
        </w:rPr>
        <w:t>4.系统采用多核多线程并行操作系统和加速操作系统，提供软件著作权登记证书</w:t>
      </w:r>
    </w:p>
    <w:p>
      <w:pPr>
        <w:spacing w:line="240" w:lineRule="auto"/>
        <w:ind w:firstLine="420" w:firstLineChars="200"/>
      </w:pPr>
      <w:r>
        <w:rPr>
          <w:rFonts w:hint="eastAsia"/>
        </w:rPr>
        <w:t>5.支持透明、路由、混合等多种工作模式，具备基于桥的二层交换式防火墙包过滤能力，提供国家第三方机构（如：中国信息安全测评中心、公安部信息安全产品检测中心、国家知识产权局、中国网络安全审查技术与认证中心、国家版权局等国家权威机构）出具的相关证明文件；</w:t>
      </w:r>
    </w:p>
    <w:p>
      <w:pPr>
        <w:spacing w:line="240" w:lineRule="auto"/>
        <w:ind w:firstLine="420" w:firstLineChars="200"/>
      </w:pPr>
      <w:r>
        <w:rPr>
          <w:rFonts w:hint="eastAsia"/>
        </w:rPr>
        <w:t>6.支持针对策略中的源、目的地址进行新建、并发限制，可以针对单IP(或地址范围)进行新建、并发控制；</w:t>
      </w:r>
    </w:p>
    <w:p>
      <w:pPr>
        <w:spacing w:line="240" w:lineRule="auto"/>
        <w:ind w:firstLine="420" w:firstLineChars="200"/>
      </w:pPr>
      <w:r>
        <w:rPr>
          <w:rFonts w:hint="eastAsia"/>
        </w:rPr>
        <w:t>7.支持基于文件类型的策略路由，可实现将预定义或者自定义的文件按照不同的分类进行智能选路，提供具有CMA或CNAS认证的第三方检测报告；</w:t>
      </w:r>
    </w:p>
    <w:p>
      <w:pPr>
        <w:spacing w:line="240" w:lineRule="auto"/>
        <w:ind w:firstLine="420" w:firstLineChars="200"/>
      </w:pPr>
      <w:r>
        <w:rPr>
          <w:rFonts w:hint="eastAsia"/>
        </w:rPr>
        <w:t>8.支持数据防泄密功能，可针对SMTP协议主题、正文的敏感信息检测，支持对HTTP协议POST数据的消息体的敏感信息检测，支持对FTP协议上传下载文件内容的敏感信息检测；</w:t>
      </w:r>
    </w:p>
    <w:p>
      <w:pPr>
        <w:spacing w:line="240" w:lineRule="auto"/>
        <w:ind w:firstLine="420" w:firstLineChars="200"/>
      </w:pPr>
      <w:r>
        <w:rPr>
          <w:rFonts w:hint="eastAsia"/>
        </w:rPr>
        <w:t>9.支持一体化安全策略配置，可通过一条策略实现用户认证、IPS、AV、URL过滤、协议控制、流量控制、并发、新建限制、垃圾邮件过滤、审计等功能，提供具有CMA或CNAS认证的第三方检测报告；</w:t>
      </w:r>
    </w:p>
    <w:p>
      <w:pPr>
        <w:spacing w:line="240" w:lineRule="auto"/>
        <w:ind w:firstLine="420" w:firstLineChars="200"/>
      </w:pPr>
      <w:r>
        <w:rPr>
          <w:rFonts w:hint="eastAsia"/>
        </w:rPr>
        <w:t>10.支持漏洞扫描功能，支持后门、文件共享、系统补丁、IE漏洞等主动式扫描；</w:t>
      </w:r>
    </w:p>
    <w:p>
      <w:pPr>
        <w:spacing w:line="240" w:lineRule="auto"/>
        <w:ind w:firstLine="420" w:firstLineChars="200"/>
      </w:pPr>
      <w:r>
        <w:rPr>
          <w:rFonts w:hint="eastAsia"/>
        </w:rPr>
        <w:t>11.系统缺省含不少于200个SSL VPN授权，设备具备基于SSL协议的远程安全接入能力，提供国家第三方机构（如：中国信息安全测评中心、公安部信息安全产品检测中心、国家知识产权局、中国网络安全审查技术与认证中心、国家版权局等国家权威机构）出具的相关证明文件；</w:t>
      </w:r>
    </w:p>
    <w:p>
      <w:pPr>
        <w:spacing w:line="240" w:lineRule="auto"/>
        <w:ind w:firstLine="420" w:firstLineChars="200"/>
      </w:pPr>
      <w:r>
        <w:rPr>
          <w:rFonts w:hint="eastAsia"/>
        </w:rPr>
        <w:t>12.支持入侵场景保留，可记录入侵行为相关的网络数据报文，报文可保存至U盘或某台内网服务器；</w:t>
      </w:r>
    </w:p>
    <w:p>
      <w:pPr>
        <w:spacing w:line="240" w:lineRule="auto"/>
        <w:ind w:firstLine="420" w:firstLineChars="200"/>
      </w:pPr>
      <w:r>
        <w:rPr>
          <w:rFonts w:hint="eastAsia"/>
        </w:rPr>
        <w:t>13.内置入侵防御特征库，特征规则数量不少于9500条，特征库可按分组进行管理，可自定义入侵攻击和应用软件的特征，提供截图证明；</w:t>
      </w:r>
    </w:p>
    <w:p>
      <w:pPr>
        <w:spacing w:line="240" w:lineRule="auto"/>
        <w:ind w:firstLine="420" w:firstLineChars="200"/>
      </w:pPr>
      <w:r>
        <w:rPr>
          <w:rFonts w:hint="eastAsia"/>
        </w:rPr>
        <w:t>14.支持HTTP类攻击重定向功能，能够把HTTP协议的攻击类型重定向到指定蜜罐系统，便于对攻击进行审计与分析；</w:t>
      </w:r>
    </w:p>
    <w:p>
      <w:pPr>
        <w:spacing w:line="240" w:lineRule="auto"/>
        <w:ind w:firstLine="420" w:firstLineChars="200"/>
      </w:pPr>
      <w:r>
        <w:rPr>
          <w:rFonts w:hint="eastAsia"/>
        </w:rPr>
        <w:t>15.采用业界领先的入侵检测技术，提供国家第三方机构（如：中国信息安全测评中心、公安部信息安全产品检测中心、国家知识产权局、中国网络安全审查技术与认证中心、国家版权局等）出具的加快旁路入侵检测方法的技术证明文件；</w:t>
      </w:r>
    </w:p>
    <w:p>
      <w:pPr>
        <w:spacing w:line="240" w:lineRule="auto"/>
        <w:ind w:firstLine="420" w:firstLineChars="200"/>
      </w:pPr>
      <w:r>
        <w:rPr>
          <w:rFonts w:hint="eastAsia"/>
        </w:rPr>
        <w:t>16.支持基于策略的病毒扫描与防护，可针对不同的源目IP地址、源MAC地址、服务、时间、安全域、用户等，采用不同的病毒防护策略，提供截图证明；</w:t>
      </w:r>
    </w:p>
    <w:p>
      <w:pPr>
        <w:spacing w:line="240" w:lineRule="auto"/>
        <w:ind w:firstLine="420" w:firstLineChars="200"/>
      </w:pPr>
      <w:r>
        <w:rPr>
          <w:rFonts w:hint="eastAsia"/>
        </w:rPr>
        <w:t>17.支持配置多个不同的防病毒引擎，提高病毒检测效率，提供具有CMA或CNAS认证的第三方检测报告；</w:t>
      </w:r>
    </w:p>
    <w:p>
      <w:pPr>
        <w:spacing w:line="240" w:lineRule="auto"/>
        <w:ind w:firstLine="420" w:firstLineChars="200"/>
      </w:pPr>
      <w:r>
        <w:rPr>
          <w:rFonts w:hint="eastAsia"/>
        </w:rPr>
        <w:t>18.支持多接口可旁路的病毒文件传输监听检测方式，可并行监听并检测多个接口、多个网段内的病毒传输行为，用于高可靠性要求的旁路应用环境；</w:t>
      </w:r>
    </w:p>
    <w:p>
      <w:pPr>
        <w:spacing w:line="240" w:lineRule="auto"/>
        <w:ind w:firstLine="420" w:firstLineChars="200"/>
      </w:pPr>
      <w:r>
        <w:rPr>
          <w:rFonts w:hint="eastAsia"/>
        </w:rPr>
        <w:t>19.支持隔离病毒源地址，防止病毒源主机访问内部网络，提高网络整体安全性；</w:t>
      </w:r>
    </w:p>
    <w:p>
      <w:pPr>
        <w:spacing w:line="240" w:lineRule="auto"/>
        <w:ind w:firstLine="420" w:firstLineChars="200"/>
      </w:pPr>
      <w:r>
        <w:rPr>
          <w:rFonts w:hint="eastAsia"/>
        </w:rPr>
        <w:t>20.支持专业的DNSflood攻击防护，具有高级的基于聚类限速、聚类分析、重传检测等多种高级防护算法，提供具有CMA或CNAS认证的第三方检测报告；</w:t>
      </w:r>
    </w:p>
    <w:p>
      <w:pPr>
        <w:spacing w:line="240" w:lineRule="auto"/>
        <w:ind w:firstLine="420" w:firstLineChars="200"/>
      </w:pPr>
      <w:r>
        <w:rPr>
          <w:rFonts w:hint="eastAsia"/>
        </w:rPr>
        <w:t>21.支持专业的HTTP Flood攻击防护，可以实现get和post的攻击防护，且get防护算法支持4类；支持独立url处理动作；以上防护功能均可以基于聚类分析、可信度、回探等多种防御机制；</w:t>
      </w:r>
    </w:p>
    <w:p>
      <w:pPr>
        <w:spacing w:line="240" w:lineRule="auto"/>
        <w:ind w:firstLine="420" w:firstLineChars="200"/>
      </w:pPr>
      <w:r>
        <w:rPr>
          <w:rFonts w:hint="eastAsia"/>
        </w:rPr>
        <w:t>22.支持WEB界面下对攻击流量进行抓包分析，支持自定义抓包参数，至少包括数据报文长度、报文数量、抓包时间及采样频率等基本参数；</w:t>
      </w:r>
    </w:p>
    <w:p>
      <w:pPr>
        <w:spacing w:line="240" w:lineRule="auto"/>
        <w:ind w:firstLine="420" w:firstLineChars="200"/>
      </w:pPr>
      <w:r>
        <w:rPr>
          <w:rFonts w:hint="eastAsia"/>
        </w:rPr>
        <w:t>23.支持多种（≥10）服务器负载均衡算法，提供服务器负载均衡防火墙系统软件著作权登记证书；</w:t>
      </w:r>
    </w:p>
    <w:p>
      <w:pPr>
        <w:spacing w:line="240" w:lineRule="auto"/>
        <w:ind w:firstLine="420" w:firstLineChars="200"/>
      </w:pPr>
      <w:r>
        <w:rPr>
          <w:rFonts w:hint="eastAsia"/>
        </w:rPr>
        <w:t>24.支持垃圾邮件智能学习，从已检测出的垃圾邮件内容中提取特征，增强后续对相似垃圾邮件的识别能力，提供国家第三方机构（如：中国信息安全测评中心、公安部信息安全产品检测中心、国家知识产权局、中国网络安全审查技术与认证中心、国家版权局等国家权威机构）出具的垃圾邮件过滤方法的技术证明文件</w:t>
      </w:r>
    </w:p>
    <w:p>
      <w:pPr>
        <w:spacing w:line="240" w:lineRule="auto"/>
        <w:ind w:firstLine="420" w:firstLineChars="200"/>
      </w:pPr>
      <w:r>
        <w:rPr>
          <w:rFonts w:hint="eastAsia"/>
        </w:rPr>
        <w:t>25.支持防邮件炸弹功能，即设置POP3、SMTP的连接频率；</w:t>
      </w:r>
    </w:p>
    <w:p>
      <w:pPr>
        <w:spacing w:line="240" w:lineRule="auto"/>
        <w:ind w:firstLine="420" w:firstLineChars="200"/>
      </w:pPr>
      <w:r>
        <w:rPr>
          <w:rFonts w:hint="eastAsia"/>
        </w:rPr>
        <w:t>26.支持对SQL注入攻击、XSS跨站脚本攻击、WEB恶意扫描等WEB攻击行为进行防护；</w:t>
      </w:r>
    </w:p>
    <w:p>
      <w:pPr>
        <w:spacing w:line="240" w:lineRule="auto"/>
        <w:ind w:firstLine="420" w:firstLineChars="200"/>
      </w:pPr>
      <w:r>
        <w:rPr>
          <w:rFonts w:hint="eastAsia"/>
        </w:rPr>
        <w:t>27.支持多个（≥3）Syslog服务器，可自定义日志服务器端口和日志类型；</w:t>
      </w:r>
    </w:p>
    <w:p>
      <w:pPr>
        <w:spacing w:line="240" w:lineRule="auto"/>
        <w:ind w:firstLine="420" w:firstLineChars="200"/>
      </w:pPr>
      <w:r>
        <w:rPr>
          <w:rFonts w:hint="eastAsia"/>
        </w:rPr>
        <w:t>28.支持端口联动，支持上下行端口组的联动，可实现单端口决定同组中的任意接口失效启动链路切换</w:t>
      </w:r>
    </w:p>
    <w:p>
      <w:pPr>
        <w:spacing w:line="240" w:lineRule="auto"/>
        <w:ind w:firstLine="420" w:firstLineChars="200"/>
      </w:pPr>
      <w:r>
        <w:rPr>
          <w:rFonts w:hint="eastAsia"/>
        </w:rPr>
        <w:t>29.具备网络安全设备及其组成实现高可用性的能力，提供国家第三方机构（如：中国信息安全测评中心、公安部信息安全产品检测中心、国家知识产权局、中国网络安全审查技术与认证中心、国家版权局等国家权威机构）出具的相关证明文件；</w:t>
      </w:r>
    </w:p>
    <w:p>
      <w:pPr>
        <w:spacing w:line="240" w:lineRule="auto"/>
        <w:ind w:firstLine="420" w:firstLineChars="200"/>
      </w:pPr>
      <w:r>
        <w:rPr>
          <w:rFonts w:hint="eastAsia"/>
        </w:rPr>
        <w:t>30.支持集群模式部署，具备在集群模式下实现网络安全设备高可用性能力，提供国家第三方机构（如：中国信息安全测评中心、公安部信息安全产品检测中心、国家知识产权局、中国网络安全审查技术与认证中心、国家版权局等国家权威机构）出具的相关证明文件；</w:t>
      </w:r>
    </w:p>
    <w:p>
      <w:pPr>
        <w:spacing w:line="240" w:lineRule="auto"/>
        <w:ind w:firstLine="420" w:firstLineChars="200"/>
      </w:pPr>
      <w:r>
        <w:rPr>
          <w:rFonts w:hint="eastAsia"/>
        </w:rPr>
        <w:t>31.符合GB/T 17626.5-2008和YD/T993-1998标准，通过了雷击型式试验和浪涌(冲击)抗扰度试验，提供国家第三方机构出具的检测报告；</w:t>
      </w:r>
    </w:p>
    <w:p>
      <w:pPr>
        <w:spacing w:line="240" w:lineRule="auto"/>
        <w:ind w:firstLine="420" w:firstLineChars="200"/>
      </w:pPr>
      <w:r>
        <w:rPr>
          <w:rFonts w:hint="eastAsia"/>
        </w:rPr>
        <w:t>32.符合GB 42250-2022《信息安全技术 网络安全专用产品安全技术要求》，提供证明文件；</w:t>
      </w:r>
    </w:p>
    <w:p>
      <w:pPr>
        <w:spacing w:line="240" w:lineRule="auto"/>
        <w:ind w:firstLine="420" w:firstLineChars="200"/>
      </w:pPr>
      <w:r>
        <w:rPr>
          <w:rFonts w:hint="eastAsia"/>
        </w:rPr>
        <w:t>33.本次项目新增安全产品防火墙，为确保性能足以支撑业务使用，防火墙全功能开放达到30G以上实网防护能力。</w:t>
      </w:r>
    </w:p>
    <w:p>
      <w:pPr>
        <w:pStyle w:val="2"/>
        <w:spacing w:before="120" w:after="120"/>
      </w:pPr>
      <w:r>
        <w:rPr>
          <w:rFonts w:hint="eastAsia"/>
        </w:rPr>
        <w:t>综合布线系统要求</w:t>
      </w:r>
    </w:p>
    <w:p>
      <w:pPr>
        <w:spacing w:line="240" w:lineRule="auto"/>
        <w:ind w:firstLine="420" w:firstLineChars="200"/>
      </w:pPr>
      <w:r>
        <w:rPr>
          <w:rFonts w:hint="eastAsia"/>
        </w:rPr>
        <w:t>1、综合布线系统需满足以下标准、规范的最新版本：GB50312-综合布线系统工程验收规范、EIA/TIA 568-C-商业建筑通信布线系统标准、EIA/TIA 569-商业建筑电信通道及空间标准、 EIA/TIA 606-商业建筑物电信基础结构管理标准。</w:t>
      </w:r>
    </w:p>
    <w:p>
      <w:pPr>
        <w:spacing w:line="240" w:lineRule="auto"/>
        <w:ind w:firstLine="420" w:firstLineChars="200"/>
      </w:pPr>
      <w:r>
        <w:rPr>
          <w:rFonts w:hint="eastAsia"/>
        </w:rPr>
        <w:t xml:space="preserve">2、综合布线系统必须为国际著名品牌的标准化产品。各种线缆、配线架、模块和面板、跳线、连接器等必须为知名品牌的产品，机柜/机架及其配件等可采用与上述产品不同品牌，机柜/机架的颜色、样式、外观等需要由业主确定。 </w:t>
      </w:r>
    </w:p>
    <w:p>
      <w:pPr>
        <w:spacing w:line="240" w:lineRule="auto"/>
        <w:ind w:firstLine="420" w:firstLineChars="200"/>
      </w:pPr>
      <w:r>
        <w:rPr>
          <w:rFonts w:hint="eastAsia"/>
        </w:rPr>
        <w:t>3、本工程采用的综合布线系统应该满足并超过相关国际标准。要求产品制造商生产的产品必须获得国内信息产业部出具的满足国际标准的合格认证。</w:t>
      </w:r>
    </w:p>
    <w:p>
      <w:pPr>
        <w:spacing w:line="240" w:lineRule="auto"/>
        <w:ind w:firstLine="420" w:firstLineChars="200"/>
      </w:pPr>
      <w:r>
        <w:rPr>
          <w:rFonts w:hint="eastAsia"/>
        </w:rPr>
        <w:t>4、本工程采用的 50/125µ m 激光优化多模（OM3）符合 TIA-492AAAC-A 及 IEC60793-1-10 Type A1a.2 标准要求，波长 850nm 。</w:t>
      </w:r>
    </w:p>
    <w:p>
      <w:pPr>
        <w:spacing w:line="240" w:lineRule="auto"/>
        <w:ind w:firstLine="420" w:firstLineChars="200"/>
      </w:pPr>
      <w:r>
        <w:rPr>
          <w:rFonts w:hint="eastAsia"/>
        </w:rPr>
        <w:t>本项目综合布线光纤采用多模光纤。</w:t>
      </w:r>
    </w:p>
    <w:p>
      <w:pPr>
        <w:spacing w:line="240" w:lineRule="auto"/>
        <w:ind w:firstLine="420" w:firstLineChars="200"/>
      </w:pPr>
      <w:r>
        <w:rPr>
          <w:rFonts w:hint="eastAsia"/>
        </w:rPr>
        <w:t xml:space="preserve">1）信息点设置 </w:t>
      </w:r>
    </w:p>
    <w:p>
      <w:pPr>
        <w:spacing w:line="240" w:lineRule="auto"/>
        <w:ind w:firstLine="420" w:firstLineChars="200"/>
      </w:pPr>
      <w:r>
        <w:rPr>
          <w:rFonts w:hint="eastAsia"/>
        </w:rPr>
        <w:t>工作区子系统由设接入柜至汇聚柜线缆、汇聚柜至现机房机柜线缆及配线架、条线等构成。</w:t>
      </w:r>
    </w:p>
    <w:p>
      <w:pPr>
        <w:spacing w:line="240" w:lineRule="auto"/>
        <w:ind w:firstLine="420" w:firstLineChars="200"/>
      </w:pPr>
      <w:r>
        <w:rPr>
          <w:rFonts w:hint="eastAsia"/>
        </w:rPr>
        <w:t>为了保证计算机网络系统的正常运转，所有信息插口都是一个标准的信息插口，不同型号的计算机和终端可以通过标准跳线方便地连接到信息插口上。</w:t>
      </w:r>
    </w:p>
    <w:p>
      <w:pPr>
        <w:spacing w:line="240" w:lineRule="auto"/>
        <w:ind w:firstLine="420" w:firstLineChars="200"/>
      </w:pPr>
      <w:r>
        <w:rPr>
          <w:rFonts w:hint="eastAsia"/>
        </w:rPr>
        <w:t>2）水平干线子系统</w:t>
      </w:r>
    </w:p>
    <w:p>
      <w:pPr>
        <w:spacing w:line="240" w:lineRule="auto"/>
        <w:ind w:firstLine="420" w:firstLineChars="200"/>
      </w:pPr>
      <w:r>
        <w:rPr>
          <w:rFonts w:hint="eastAsia"/>
        </w:rPr>
        <w:t>本项目水平线缆从主机房通信机柜穿至走廊，通过天花内原有弱电线槽引向新机房。接线端之间均为点到点端接，任何操作都不影响整个系统的运行，为系统的重新配置和故障检修提供了极大的方便。</w:t>
      </w:r>
    </w:p>
    <w:p>
      <w:pPr>
        <w:spacing w:line="240" w:lineRule="auto"/>
        <w:ind w:firstLine="420" w:firstLineChars="200"/>
      </w:pPr>
    </w:p>
    <w:p>
      <w:pPr>
        <w:pStyle w:val="2"/>
        <w:spacing w:before="120" w:after="120"/>
      </w:pPr>
      <w:r>
        <w:rPr>
          <w:rFonts w:hint="eastAsia"/>
        </w:rPr>
        <w:t>项目工期及实施要求</w:t>
      </w:r>
    </w:p>
    <w:p>
      <w:pPr>
        <w:spacing w:line="240" w:lineRule="auto"/>
        <w:ind w:firstLine="562" w:firstLineChars="200"/>
      </w:pPr>
      <w:r>
        <w:rPr>
          <w:rFonts w:hint="eastAsia"/>
          <w:b/>
          <w:bCs/>
          <w:sz w:val="28"/>
          <w:szCs w:val="28"/>
        </w:rPr>
        <w:t>1.工期要求：</w:t>
      </w:r>
    </w:p>
    <w:p>
      <w:pPr>
        <w:spacing w:line="240" w:lineRule="auto"/>
        <w:ind w:firstLine="420" w:firstLineChars="200"/>
      </w:pPr>
      <w:r>
        <w:rPr>
          <w:rFonts w:hint="eastAsia"/>
        </w:rPr>
        <w:t>建设工期90天。</w:t>
      </w:r>
    </w:p>
    <w:p>
      <w:pPr>
        <w:spacing w:line="240" w:lineRule="auto"/>
        <w:ind w:firstLine="562" w:firstLineChars="200"/>
      </w:pPr>
      <w:r>
        <w:rPr>
          <w:rFonts w:hint="eastAsia"/>
          <w:b/>
          <w:bCs/>
          <w:sz w:val="28"/>
          <w:szCs w:val="28"/>
        </w:rPr>
        <w:t>2.实施地点：</w:t>
      </w:r>
    </w:p>
    <w:p>
      <w:pPr>
        <w:spacing w:line="240" w:lineRule="auto"/>
        <w:ind w:firstLine="420" w:firstLineChars="200"/>
      </w:pPr>
      <w:r>
        <w:rPr>
          <w:rFonts w:hint="eastAsia"/>
        </w:rPr>
        <w:t xml:space="preserve">广东省妇幼保健院番禺院区 </w:t>
      </w:r>
    </w:p>
    <w:p>
      <w:pPr>
        <w:spacing w:line="240" w:lineRule="auto"/>
        <w:ind w:firstLine="562" w:firstLineChars="200"/>
      </w:pPr>
      <w:r>
        <w:rPr>
          <w:rFonts w:hint="eastAsia"/>
          <w:b/>
          <w:bCs/>
          <w:sz w:val="28"/>
          <w:szCs w:val="28"/>
        </w:rPr>
        <w:t>3.维保期：</w:t>
      </w:r>
    </w:p>
    <w:p>
      <w:pPr>
        <w:spacing w:line="240" w:lineRule="auto"/>
        <w:ind w:firstLine="420" w:firstLineChars="200"/>
      </w:pPr>
      <w:r>
        <w:rPr>
          <w:rFonts w:hint="eastAsia"/>
        </w:rPr>
        <w:t>验收合格后三年。</w:t>
      </w:r>
    </w:p>
    <w:p>
      <w:pPr>
        <w:spacing w:line="240" w:lineRule="auto"/>
        <w:ind w:firstLine="562" w:firstLineChars="200"/>
        <w:rPr>
          <w:b/>
          <w:bCs/>
          <w:sz w:val="28"/>
          <w:szCs w:val="28"/>
        </w:rPr>
      </w:pPr>
      <w:r>
        <w:rPr>
          <w:rFonts w:hint="eastAsia"/>
          <w:b/>
          <w:bCs/>
          <w:sz w:val="28"/>
          <w:szCs w:val="28"/>
        </w:rPr>
        <w:t>4.验收要求：</w:t>
      </w:r>
    </w:p>
    <w:p>
      <w:pPr>
        <w:spacing w:line="240" w:lineRule="auto"/>
        <w:ind w:firstLine="420" w:firstLineChars="200"/>
      </w:pPr>
      <w:r>
        <w:rPr>
          <w:rFonts w:hint="eastAsia"/>
        </w:rPr>
        <w:t>本项目验收由供应商提出申请，医院组织验收。验收合格，双方签字确认后视为实施完成。</w:t>
      </w:r>
    </w:p>
    <w:p>
      <w:pPr>
        <w:spacing w:line="240" w:lineRule="auto"/>
        <w:ind w:firstLine="420" w:firstLineChars="200"/>
      </w:pPr>
      <w:r>
        <w:rPr>
          <w:rFonts w:hint="eastAsia"/>
        </w:rPr>
        <w:t xml:space="preserve">供应商应负责在项目验收时按医院要求将全部有关产品说明书、安装手册、技术文件、验收报告等文档交付采购人。 </w:t>
      </w:r>
    </w:p>
    <w:p>
      <w:pPr>
        <w:spacing w:line="240" w:lineRule="auto"/>
        <w:ind w:firstLine="562" w:firstLineChars="200"/>
        <w:rPr>
          <w:b/>
          <w:bCs/>
          <w:sz w:val="28"/>
          <w:szCs w:val="28"/>
        </w:rPr>
      </w:pPr>
      <w:r>
        <w:rPr>
          <w:rFonts w:hint="eastAsia"/>
          <w:b/>
          <w:bCs/>
          <w:sz w:val="28"/>
          <w:szCs w:val="28"/>
        </w:rPr>
        <w:t>5.采购资金的支付方式、时间、条件：</w:t>
      </w:r>
    </w:p>
    <w:p>
      <w:pPr>
        <w:spacing w:line="240" w:lineRule="auto"/>
        <w:ind w:firstLine="420" w:firstLineChars="200"/>
        <w:rPr>
          <w:lang w:val="zh-CN"/>
        </w:rPr>
      </w:pPr>
      <w:r>
        <w:rPr>
          <w:rFonts w:hint="eastAsia"/>
          <w:lang w:val="zh-CN"/>
        </w:rPr>
        <w:t>（</w:t>
      </w:r>
      <w:r>
        <w:rPr>
          <w:rFonts w:hint="eastAsia"/>
        </w:rPr>
        <w:t>1）</w:t>
      </w:r>
      <w:r>
        <w:rPr>
          <w:rFonts w:hint="eastAsia"/>
          <w:lang w:val="zh-CN"/>
        </w:rPr>
        <w:t>在合同签订后，</w:t>
      </w:r>
      <w:r>
        <w:rPr>
          <w:rFonts w:hint="eastAsia"/>
        </w:rPr>
        <w:t xml:space="preserve">  </w:t>
      </w:r>
      <w:r>
        <w:rPr>
          <w:rFonts w:hint="eastAsia"/>
          <w:lang w:val="zh-CN"/>
        </w:rPr>
        <w:t>支付40%的合同款项</w:t>
      </w:r>
      <w:r>
        <w:rPr>
          <w:rFonts w:hint="eastAsia"/>
        </w:rPr>
        <w:t>作为预付款</w:t>
      </w:r>
      <w:r>
        <w:rPr>
          <w:rFonts w:hint="eastAsia"/>
          <w:lang w:val="zh-CN"/>
        </w:rPr>
        <w:t>。</w:t>
      </w:r>
    </w:p>
    <w:p>
      <w:pPr>
        <w:spacing w:line="240" w:lineRule="auto"/>
        <w:ind w:firstLine="420" w:firstLineChars="200"/>
        <w:rPr>
          <w:lang w:val="zh-CN"/>
        </w:rPr>
      </w:pPr>
      <w:r>
        <w:rPr>
          <w:rFonts w:hint="eastAsia"/>
          <w:lang w:val="zh-CN"/>
        </w:rPr>
        <w:t>（</w:t>
      </w:r>
      <w:r>
        <w:rPr>
          <w:rFonts w:hint="eastAsia"/>
        </w:rPr>
        <w:t>2）</w:t>
      </w:r>
      <w:r>
        <w:rPr>
          <w:rFonts w:hint="eastAsia"/>
          <w:lang w:val="zh-CN"/>
        </w:rPr>
        <w:t>项目验收合格后，支付</w:t>
      </w:r>
      <w:r>
        <w:rPr>
          <w:rFonts w:hint="eastAsia"/>
        </w:rPr>
        <w:t>55</w:t>
      </w:r>
      <w:r>
        <w:rPr>
          <w:rFonts w:hint="eastAsia"/>
          <w:lang w:val="zh-CN"/>
        </w:rPr>
        <w:t>%的合同款项。验收标准以合同签订后各方确认的详细用户需求书为准。</w:t>
      </w:r>
    </w:p>
    <w:p>
      <w:pPr>
        <w:spacing w:line="240" w:lineRule="auto"/>
        <w:ind w:firstLine="420" w:firstLineChars="200"/>
        <w:rPr>
          <w:lang w:val="zh-CN"/>
        </w:rPr>
      </w:pPr>
      <w:r>
        <w:rPr>
          <w:rFonts w:hint="eastAsia"/>
          <w:lang w:val="zh-CN"/>
        </w:rPr>
        <w:t>（</w:t>
      </w:r>
      <w:r>
        <w:rPr>
          <w:rFonts w:hint="eastAsia"/>
        </w:rPr>
        <w:t>3）</w:t>
      </w:r>
      <w:r>
        <w:rPr>
          <w:rFonts w:hint="eastAsia"/>
          <w:lang w:val="zh-CN"/>
        </w:rPr>
        <w:t>项目验收合格</w:t>
      </w:r>
      <w:r>
        <w:rPr>
          <w:rFonts w:hint="eastAsia"/>
        </w:rPr>
        <w:t>3年</w:t>
      </w:r>
      <w:r>
        <w:rPr>
          <w:rFonts w:hint="eastAsia"/>
          <w:lang w:val="zh-CN"/>
        </w:rPr>
        <w:t>后，支付</w:t>
      </w:r>
      <w:r>
        <w:rPr>
          <w:rFonts w:hint="eastAsia"/>
        </w:rPr>
        <w:t>5</w:t>
      </w:r>
      <w:r>
        <w:rPr>
          <w:rFonts w:hint="eastAsia"/>
          <w:lang w:val="zh-CN"/>
        </w:rPr>
        <w:t>%的合同款项。验收标准以合同签订后各方确认的详细用户需求书为准。</w:t>
      </w:r>
    </w:p>
    <w:p>
      <w:pPr>
        <w:spacing w:line="240" w:lineRule="auto"/>
        <w:ind w:firstLine="562" w:firstLineChars="200"/>
      </w:pPr>
      <w:r>
        <w:rPr>
          <w:rFonts w:hint="eastAsia"/>
          <w:b/>
          <w:bCs/>
          <w:sz w:val="28"/>
          <w:szCs w:val="28"/>
        </w:rPr>
        <w:t xml:space="preserve">6.服务要求（需提供承诺函）：  </w:t>
      </w:r>
      <w:r>
        <w:rPr>
          <w:rFonts w:hint="eastAsia"/>
        </w:rPr>
        <w:t xml:space="preserve"> </w:t>
      </w:r>
    </w:p>
    <w:p>
      <w:pPr>
        <w:spacing w:line="240" w:lineRule="auto"/>
        <w:ind w:firstLine="420" w:firstLineChars="200"/>
      </w:pPr>
      <w:r>
        <w:rPr>
          <w:rFonts w:hint="eastAsia"/>
        </w:rPr>
        <w:t>投标时需要提供实施方案，中标后要求提供深化图纸。</w:t>
      </w:r>
    </w:p>
    <w:p>
      <w:pPr>
        <w:spacing w:line="240" w:lineRule="auto"/>
        <w:ind w:firstLine="420" w:firstLineChars="200"/>
      </w:pPr>
      <w:r>
        <w:rPr>
          <w:rFonts w:hint="eastAsia"/>
        </w:rPr>
        <w:t>施工时，因涉及粉尘及动火作业，施工前需对未施工区域进行安全保护，并根据院方要求办理各项施工手续，实施期间要求驻场服务。</w:t>
      </w:r>
    </w:p>
    <w:p>
      <w:pPr>
        <w:spacing w:line="240" w:lineRule="auto"/>
        <w:ind w:firstLine="420" w:firstLineChars="200"/>
      </w:pPr>
      <w:r>
        <w:rPr>
          <w:rFonts w:hint="eastAsia"/>
        </w:rPr>
        <w:t>项目实施更换过程中不能影响机房内其它设备正常运行，以及医院其它科室的正常运转，承建方项目实施前必须做好相应计划和回退方案，并与用户充分沟通，友好协商并达成一致意见，由于实施不当造成的损失由承建方负责并承担损失。</w:t>
      </w:r>
    </w:p>
    <w:p>
      <w:pPr>
        <w:spacing w:line="240" w:lineRule="auto"/>
        <w:ind w:firstLine="420" w:firstLineChars="200"/>
      </w:pPr>
      <w:r>
        <w:rPr>
          <w:rFonts w:hint="eastAsia"/>
        </w:rPr>
        <w:t xml:space="preserve">要求各子系统需达到甲方要求的效果，如货到后验收不能满足要求，所有损失由承建方支付。    </w:t>
      </w:r>
    </w:p>
    <w:p>
      <w:pPr>
        <w:spacing w:line="240" w:lineRule="auto"/>
        <w:ind w:firstLine="420" w:firstLineChars="200"/>
      </w:pPr>
      <w:r>
        <w:rPr>
          <w:rFonts w:hint="eastAsia"/>
        </w:rPr>
        <w:t>本次项目配置的网络设备应提供网络管理接口，与运维管理平台管理实现对接纳管，由运维管理平台对设备实现统一管理运维。若供应商提供的网络设备无法与运维管理平台对接，应由供应商提供二次开发，保障院内运维管理平台统一运维管理要求。</w:t>
      </w:r>
    </w:p>
    <w:p>
      <w:pPr>
        <w:spacing w:line="240" w:lineRule="auto"/>
        <w:ind w:firstLine="420" w:firstLineChars="200"/>
      </w:pPr>
      <w:r>
        <w:rPr>
          <w:rFonts w:hint="eastAsia"/>
        </w:rPr>
        <w:t>要求协助客户对于主机房及扩容机房，机柜资源整合对设备梳理及整改。</w:t>
      </w:r>
    </w:p>
    <w:p>
      <w:pPr>
        <w:spacing w:line="240" w:lineRule="auto"/>
        <w:ind w:firstLine="420" w:firstLineChars="200"/>
      </w:pPr>
      <w:r>
        <w:rPr>
          <w:rFonts w:hint="eastAsia"/>
        </w:rPr>
        <w:t>提供项目3年的运维服务。</w:t>
      </w:r>
    </w:p>
    <w:p>
      <w:pPr>
        <w:spacing w:line="240" w:lineRule="auto"/>
        <w:ind w:firstLine="420" w:firstLineChars="200"/>
      </w:pPr>
      <w:r>
        <w:rPr>
          <w:rFonts w:hint="eastAsia"/>
        </w:rPr>
        <w:t>院方对于设备性能有质疑，供应商应根据院方要求提供现场测试，并出具测试报告。</w:t>
      </w:r>
    </w:p>
    <w:p>
      <w:pPr>
        <w:spacing w:line="240" w:lineRule="auto"/>
        <w:ind w:firstLine="420" w:firstLineChars="200"/>
      </w:pPr>
      <w:r>
        <w:rPr>
          <w:rFonts w:hint="eastAsia"/>
        </w:rPr>
        <w:t>项目实施前设备实施工程师应提供相应设备原厂认证证书，若未提供，院方有权拒绝工程师实施，若耽误项目实施进度，由供应商承担相应责任。</w:t>
      </w:r>
    </w:p>
    <w:p>
      <w:pPr>
        <w:spacing w:line="240" w:lineRule="auto"/>
        <w:ind w:firstLine="420" w:firstLineChars="200"/>
      </w:pPr>
      <w:r>
        <w:rPr>
          <w:rFonts w:hint="eastAsia"/>
        </w:rPr>
        <w:t>此项目是整体一体工程，除了用户所列清单外，项目内相关的所有费用，应包括未列出但属于项目正常运行又必需的各类部件，还包括设计、设备制造、包装、仓储、运输、安装、集成及培训费、免费保修期内所需各种配件、辅料及其他所有相关含税费用。项目执行期间不得以任何理由增加费用，供应商必须补齐并将有关价格含入报价中，否则将视为免费提供。</w:t>
      </w:r>
    </w:p>
    <w:p>
      <w:pPr>
        <w:spacing w:line="240" w:lineRule="auto"/>
        <w:ind w:firstLine="420" w:firstLineChars="200"/>
      </w:pPr>
    </w:p>
    <w:p>
      <w:pPr>
        <w:spacing w:line="240" w:lineRule="auto"/>
        <w:ind w:firstLine="562" w:firstLineChars="200"/>
        <w:rPr>
          <w:b/>
          <w:bCs/>
          <w:sz w:val="28"/>
          <w:szCs w:val="28"/>
        </w:rPr>
      </w:pPr>
      <w:r>
        <w:rPr>
          <w:rFonts w:hint="eastAsia"/>
          <w:b/>
          <w:bCs/>
          <w:sz w:val="28"/>
          <w:szCs w:val="28"/>
        </w:rPr>
        <w:t>7.响应要求：</w:t>
      </w:r>
    </w:p>
    <w:p>
      <w:pPr>
        <w:spacing w:line="240" w:lineRule="auto"/>
        <w:ind w:firstLine="420" w:firstLineChars="200"/>
      </w:pPr>
      <w:r>
        <w:rPr>
          <w:rFonts w:hint="eastAsia"/>
        </w:rPr>
        <w:t>出现故障后，在规定时间内赶到故障现场进行故障处理，并在承诺时间内解决故障并恢复采购人设备正常运行。</w:t>
      </w:r>
    </w:p>
    <w:p>
      <w:pPr>
        <w:spacing w:line="240" w:lineRule="auto"/>
        <w:ind w:firstLine="420" w:firstLineChars="200"/>
      </w:pPr>
      <w:r>
        <w:rPr>
          <w:rFonts w:hint="eastAsia"/>
        </w:rPr>
        <w:t>电话响应要求：接到电话服务要求后5分钟内通过电话进行响应支持。</w:t>
      </w:r>
    </w:p>
    <w:p>
      <w:pPr>
        <w:spacing w:line="240" w:lineRule="auto"/>
        <w:ind w:firstLine="420" w:firstLineChars="200"/>
      </w:pPr>
      <w:r>
        <w:rPr>
          <w:rFonts w:hint="eastAsia"/>
        </w:rPr>
        <w:t>现场响应要求：如电话支持30分钟（紧急故障15分钟）内无法排除故障，在工作时间内，须派工程师4小时（紧急故障2小时）内赶到现场提供技术支持；在非工作时间内，须派工程师8小时内赶到现场提供技术支持。</w:t>
      </w:r>
    </w:p>
    <w:p>
      <w:pPr>
        <w:spacing w:line="240" w:lineRule="auto"/>
        <w:ind w:firstLine="420" w:firstLineChars="200"/>
      </w:pPr>
      <w:r>
        <w:rPr>
          <w:rFonts w:hint="eastAsia"/>
        </w:rPr>
        <w:t>备件响应要求：</w:t>
      </w:r>
    </w:p>
    <w:p>
      <w:pPr>
        <w:spacing w:line="240" w:lineRule="auto"/>
        <w:ind w:firstLine="420" w:firstLineChars="200"/>
      </w:pPr>
      <w:r>
        <w:rPr>
          <w:rFonts w:hint="eastAsia"/>
        </w:rPr>
        <w:t>核心备件：自判定备件需更换时起24小时内送达故障现场。</w:t>
      </w:r>
    </w:p>
    <w:p>
      <w:pPr>
        <w:spacing w:line="240" w:lineRule="auto"/>
        <w:ind w:firstLine="420" w:firstLineChars="200"/>
      </w:pPr>
      <w:r>
        <w:rPr>
          <w:rFonts w:hint="eastAsia"/>
        </w:rPr>
        <w:t>非核心备件：自判定备件需更换时起48小时内送达故障现场。</w:t>
      </w:r>
    </w:p>
    <w:p>
      <w:pPr>
        <w:spacing w:line="240" w:lineRule="auto"/>
        <w:ind w:firstLine="562" w:firstLineChars="200"/>
      </w:pPr>
      <w:r>
        <w:rPr>
          <w:rFonts w:hint="eastAsia"/>
          <w:b/>
          <w:bCs/>
          <w:sz w:val="28"/>
          <w:szCs w:val="28"/>
        </w:rPr>
        <w:t>8.运维服务要求：</w:t>
      </w:r>
    </w:p>
    <w:p>
      <w:pPr>
        <w:spacing w:line="240" w:lineRule="auto"/>
        <w:ind w:firstLine="420" w:firstLineChars="200"/>
      </w:pPr>
      <w:r>
        <w:rPr>
          <w:rFonts w:hint="eastAsia"/>
        </w:rPr>
        <w:t>安排工程师为医院提供7×24小时电话支持、远程技术支持服务，15分钟内技术响应，一般问题1小时内解决；正常远程或电话指导不能解决的问题，2小时内现场服务解决；由于设备缺陷引起的故障，保证在1小时内恢复正常；系统灾难发生时，必要时技术人员 2小时到达现场。</w:t>
      </w:r>
    </w:p>
    <w:p>
      <w:pPr>
        <w:spacing w:line="240" w:lineRule="auto"/>
        <w:ind w:firstLine="420" w:firstLineChars="200"/>
      </w:pPr>
      <w:r>
        <w:rPr>
          <w:rFonts w:hint="eastAsia"/>
        </w:rPr>
        <w:t>每一个季度需要安排一次设备现场巡检和保养服务，及时发现问题，并对设备和相关配件进行保养，直到免费质保期结束，专职人员负责系统在日常使用过程中发生的问题并协调跟踪解决问题。</w:t>
      </w:r>
    </w:p>
    <w:p>
      <w:pPr>
        <w:spacing w:line="240" w:lineRule="auto"/>
        <w:ind w:firstLine="562" w:firstLineChars="200"/>
        <w:rPr>
          <w:b/>
          <w:bCs/>
          <w:sz w:val="28"/>
          <w:szCs w:val="28"/>
        </w:rPr>
      </w:pPr>
      <w:r>
        <w:rPr>
          <w:rFonts w:hint="eastAsia"/>
          <w:b/>
          <w:bCs/>
          <w:sz w:val="28"/>
          <w:szCs w:val="28"/>
        </w:rPr>
        <w:t>9.项目培训要求</w:t>
      </w:r>
    </w:p>
    <w:p>
      <w:pPr>
        <w:spacing w:line="240" w:lineRule="auto"/>
        <w:ind w:firstLine="420" w:firstLineChars="200"/>
      </w:pPr>
      <w:r>
        <w:rPr>
          <w:rFonts w:hint="eastAsia"/>
        </w:rPr>
        <w:t>为提高使用者的使用水平，减少设备问题的出现，保证工作正常开展，要求定期有计划地对使用人员进行机柜整体系统的使用、操作、维护等方面专业培训，并提供安装使用维护说明书，以确保院方能够对有足机柜整体环境能够的了解和熟悉，能够独立进行系统的日常维护和管理。培训过程中所发生的一切费用（含培训教材费）均由供应商承担。</w:t>
      </w:r>
    </w:p>
    <w:p>
      <w:pPr>
        <w:spacing w:line="240" w:lineRule="auto"/>
        <w:ind w:firstLine="420" w:firstLineChars="200"/>
      </w:pPr>
      <w:r>
        <w:rPr>
          <w:rFonts w:hint="eastAsia"/>
        </w:rPr>
        <w:t>提供产品的操作使用培训。培训时长和地点与院方协商确定，同时供应商提供必要的师资、教材、实践环境和场地，培训产生的交通费、食宿费和培训费用需包含在投标报价中。</w:t>
      </w:r>
    </w:p>
    <w:p>
      <w:pPr>
        <w:spacing w:line="240" w:lineRule="auto"/>
        <w:ind w:firstLine="420" w:firstLineChars="200"/>
      </w:pPr>
    </w:p>
    <w:p>
      <w:pPr>
        <w:pStyle w:val="2"/>
        <w:spacing w:before="120" w:after="120"/>
      </w:pPr>
      <w:r>
        <w:rPr>
          <w:rFonts w:hint="eastAsia"/>
        </w:rPr>
        <w:t>资质要求</w:t>
      </w:r>
    </w:p>
    <w:p>
      <w:pPr>
        <w:spacing w:line="240" w:lineRule="auto"/>
        <w:ind w:firstLine="420" w:firstLineChars="200"/>
        <w:rPr>
          <w:rFonts w:hint="default" w:eastAsia="宋体"/>
          <w:lang w:val="en-US" w:eastAsia="zh-CN"/>
        </w:rPr>
      </w:pPr>
      <w:r>
        <w:rPr>
          <w:rFonts w:hint="eastAsia"/>
        </w:rPr>
        <w:t xml:space="preserve">     电子与智能化工程专业承包二级</w:t>
      </w:r>
      <w:r>
        <w:rPr>
          <w:rFonts w:hint="eastAsia"/>
          <w:lang w:val="en-US" w:eastAsia="zh-CN"/>
        </w:rPr>
        <w:t>或以上。</w:t>
      </w:r>
    </w:p>
    <w:p>
      <w:r>
        <w:rPr>
          <w:rFonts w:hint="eastAsia"/>
        </w:rPr>
        <w:t xml:space="preserve">       </w:t>
      </w:r>
    </w:p>
    <w:p>
      <w:pPr>
        <w:pStyle w:val="2"/>
        <w:spacing w:before="120" w:after="120"/>
      </w:pPr>
      <w:r>
        <w:rPr>
          <w:rFonts w:hint="eastAsia"/>
        </w:rPr>
        <w:t>项目清单</w:t>
      </w:r>
      <w:bookmarkStart w:id="2" w:name="_GoBack"/>
      <w:bookmarkEnd w:id="2"/>
    </w:p>
    <w:tbl>
      <w:tblPr>
        <w:tblStyle w:val="19"/>
        <w:tblW w:w="97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1694"/>
        <w:gridCol w:w="5673"/>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jc w:val="center"/>
              <w:rPr>
                <w:b/>
                <w:bCs/>
              </w:rPr>
            </w:pPr>
            <w:r>
              <w:rPr>
                <w:rFonts w:hint="eastAsia"/>
                <w:b/>
                <w:bCs/>
              </w:rPr>
              <w:t>序号</w:t>
            </w:r>
          </w:p>
        </w:tc>
        <w:tc>
          <w:tcPr>
            <w:tcW w:w="1694" w:type="dxa"/>
            <w:shd w:val="clear" w:color="auto" w:fill="auto"/>
            <w:noWrap/>
            <w:vAlign w:val="center"/>
          </w:tcPr>
          <w:p>
            <w:pPr>
              <w:spacing w:line="240" w:lineRule="auto"/>
              <w:jc w:val="center"/>
              <w:rPr>
                <w:b/>
                <w:bCs/>
              </w:rPr>
            </w:pPr>
            <w:r>
              <w:rPr>
                <w:rFonts w:hint="eastAsia"/>
                <w:b/>
                <w:bCs/>
              </w:rPr>
              <w:t>名称</w:t>
            </w:r>
          </w:p>
        </w:tc>
        <w:tc>
          <w:tcPr>
            <w:tcW w:w="5673" w:type="dxa"/>
            <w:shd w:val="clear" w:color="auto" w:fill="auto"/>
            <w:vAlign w:val="center"/>
          </w:tcPr>
          <w:p>
            <w:pPr>
              <w:spacing w:line="240" w:lineRule="auto"/>
              <w:jc w:val="center"/>
              <w:rPr>
                <w:b/>
                <w:bCs/>
              </w:rPr>
            </w:pPr>
            <w:r>
              <w:rPr>
                <w:rFonts w:hint="eastAsia"/>
                <w:b/>
                <w:bCs/>
              </w:rPr>
              <w:t>参数要求</w:t>
            </w:r>
          </w:p>
        </w:tc>
        <w:tc>
          <w:tcPr>
            <w:tcW w:w="850" w:type="dxa"/>
            <w:shd w:val="clear" w:color="auto" w:fill="auto"/>
            <w:noWrap/>
            <w:vAlign w:val="center"/>
          </w:tcPr>
          <w:p>
            <w:pPr>
              <w:spacing w:line="240" w:lineRule="auto"/>
              <w:jc w:val="center"/>
              <w:rPr>
                <w:b/>
                <w:bCs/>
              </w:rPr>
            </w:pPr>
            <w:r>
              <w:rPr>
                <w:rFonts w:hint="eastAsia"/>
                <w:b/>
                <w:bCs/>
              </w:rPr>
              <w:t>单位</w:t>
            </w:r>
          </w:p>
        </w:tc>
        <w:tc>
          <w:tcPr>
            <w:tcW w:w="851" w:type="dxa"/>
            <w:shd w:val="clear" w:color="auto" w:fill="auto"/>
            <w:noWrap/>
            <w:vAlign w:val="center"/>
          </w:tcPr>
          <w:p>
            <w:pPr>
              <w:spacing w:line="240" w:lineRule="auto"/>
              <w:jc w:val="center"/>
              <w:rPr>
                <w:b/>
                <w:bCs/>
              </w:rPr>
            </w:pPr>
            <w:r>
              <w:rPr>
                <w:rFonts w:hint="eastAsia"/>
                <w:b/>
                <w:bCs/>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8" w:type="dxa"/>
            <w:gridSpan w:val="5"/>
            <w:shd w:val="clear" w:color="auto" w:fill="auto"/>
            <w:noWrap/>
            <w:vAlign w:val="center"/>
          </w:tcPr>
          <w:p>
            <w:pPr>
              <w:spacing w:line="240" w:lineRule="auto"/>
            </w:pPr>
            <w:r>
              <w:rPr>
                <w:rFonts w:hint="eastAsia"/>
              </w:rPr>
              <w:t>1.会议室机房安装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w:t>
            </w:r>
          </w:p>
        </w:tc>
        <w:tc>
          <w:tcPr>
            <w:tcW w:w="1694" w:type="dxa"/>
            <w:shd w:val="clear" w:color="auto" w:fill="auto"/>
            <w:noWrap/>
            <w:vAlign w:val="center"/>
          </w:tcPr>
          <w:p>
            <w:pPr>
              <w:spacing w:line="240" w:lineRule="auto"/>
            </w:pPr>
            <w:r>
              <w:rPr>
                <w:rFonts w:hint="eastAsia"/>
              </w:rPr>
              <w:t>原装修拆除</w:t>
            </w:r>
          </w:p>
        </w:tc>
        <w:tc>
          <w:tcPr>
            <w:tcW w:w="5673" w:type="dxa"/>
            <w:shd w:val="clear" w:color="auto" w:fill="auto"/>
            <w:noWrap/>
            <w:vAlign w:val="center"/>
          </w:tcPr>
          <w:p>
            <w:pPr>
              <w:spacing w:line="240" w:lineRule="auto"/>
            </w:pPr>
            <w:r>
              <w:rPr>
                <w:rFonts w:hint="eastAsia"/>
              </w:rPr>
              <w:t>小会议室拆除</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0" w:type="dxa"/>
            <w:shd w:val="clear" w:color="auto" w:fill="auto"/>
            <w:noWrap/>
            <w:vAlign w:val="center"/>
          </w:tcPr>
          <w:p>
            <w:pPr>
              <w:spacing w:line="240" w:lineRule="auto"/>
            </w:pPr>
            <w:r>
              <w:rPr>
                <w:rFonts w:hint="eastAsia"/>
              </w:rPr>
              <w:t>2</w:t>
            </w:r>
          </w:p>
        </w:tc>
        <w:tc>
          <w:tcPr>
            <w:tcW w:w="1694" w:type="dxa"/>
            <w:shd w:val="clear" w:color="auto" w:fill="auto"/>
            <w:noWrap/>
            <w:vAlign w:val="center"/>
          </w:tcPr>
          <w:p>
            <w:pPr>
              <w:spacing w:line="240" w:lineRule="auto"/>
            </w:pPr>
            <w:r>
              <w:rPr>
                <w:rFonts w:hint="eastAsia"/>
              </w:rPr>
              <w:t>原消防拆除</w:t>
            </w:r>
          </w:p>
        </w:tc>
        <w:tc>
          <w:tcPr>
            <w:tcW w:w="5673" w:type="dxa"/>
            <w:shd w:val="clear" w:color="auto" w:fill="auto"/>
            <w:noWrap/>
            <w:vAlign w:val="center"/>
          </w:tcPr>
          <w:p>
            <w:pPr>
              <w:spacing w:line="240" w:lineRule="auto"/>
            </w:pPr>
            <w:r>
              <w:rPr>
                <w:rFonts w:hint="eastAsia"/>
              </w:rPr>
              <w:t>消防喷淋管道拆除</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w:t>
            </w:r>
          </w:p>
        </w:tc>
        <w:tc>
          <w:tcPr>
            <w:tcW w:w="1694" w:type="dxa"/>
            <w:shd w:val="clear" w:color="auto" w:fill="auto"/>
            <w:noWrap/>
            <w:vAlign w:val="center"/>
          </w:tcPr>
          <w:p>
            <w:pPr>
              <w:spacing w:line="240" w:lineRule="auto"/>
            </w:pPr>
            <w:r>
              <w:rPr>
                <w:rFonts w:hint="eastAsia"/>
              </w:rPr>
              <w:t>外窗封堵</w:t>
            </w:r>
          </w:p>
        </w:tc>
        <w:tc>
          <w:tcPr>
            <w:tcW w:w="5673" w:type="dxa"/>
            <w:shd w:val="clear" w:color="auto" w:fill="auto"/>
            <w:noWrap/>
            <w:vAlign w:val="center"/>
          </w:tcPr>
          <w:p>
            <w:pPr>
              <w:spacing w:line="240" w:lineRule="auto"/>
            </w:pPr>
            <w:r>
              <w:rPr>
                <w:rFonts w:hint="eastAsia"/>
              </w:rPr>
              <w:t>原会议室玻璃窗封堵、外窗防水</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4</w:t>
            </w:r>
          </w:p>
        </w:tc>
        <w:tc>
          <w:tcPr>
            <w:tcW w:w="1694" w:type="dxa"/>
            <w:shd w:val="clear" w:color="auto" w:fill="auto"/>
            <w:noWrap/>
            <w:vAlign w:val="center"/>
          </w:tcPr>
          <w:p>
            <w:pPr>
              <w:spacing w:line="240" w:lineRule="auto"/>
            </w:pPr>
            <w:r>
              <w:rPr>
                <w:rFonts w:hint="eastAsia"/>
              </w:rPr>
              <w:t>天面基层处理</w:t>
            </w:r>
          </w:p>
        </w:tc>
        <w:tc>
          <w:tcPr>
            <w:tcW w:w="5673" w:type="dxa"/>
            <w:shd w:val="clear" w:color="auto" w:fill="auto"/>
            <w:noWrap/>
            <w:vAlign w:val="center"/>
          </w:tcPr>
          <w:p>
            <w:pPr>
              <w:spacing w:line="240" w:lineRule="auto"/>
            </w:pPr>
            <w:r>
              <w:rPr>
                <w:rFonts w:hint="eastAsia"/>
              </w:rPr>
              <w:t>基础凿平</w:t>
            </w:r>
          </w:p>
        </w:tc>
        <w:tc>
          <w:tcPr>
            <w:tcW w:w="850" w:type="dxa"/>
            <w:shd w:val="clear" w:color="auto" w:fill="auto"/>
            <w:noWrap/>
            <w:vAlign w:val="center"/>
          </w:tcPr>
          <w:p>
            <w:pPr>
              <w:spacing w:line="240" w:lineRule="auto"/>
            </w:pPr>
            <w:r>
              <w:rPr>
                <w:rFonts w:hint="eastAsia"/>
              </w:rPr>
              <w:t>M2</w:t>
            </w:r>
          </w:p>
        </w:tc>
        <w:tc>
          <w:tcPr>
            <w:tcW w:w="851" w:type="dxa"/>
            <w:shd w:val="clear" w:color="auto" w:fill="auto"/>
            <w:noWrap/>
            <w:vAlign w:val="center"/>
          </w:tcPr>
          <w:p>
            <w:pPr>
              <w:spacing w:line="240" w:lineRule="auto"/>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5</w:t>
            </w:r>
          </w:p>
        </w:tc>
        <w:tc>
          <w:tcPr>
            <w:tcW w:w="1694" w:type="dxa"/>
            <w:shd w:val="clear" w:color="auto" w:fill="auto"/>
            <w:noWrap/>
            <w:vAlign w:val="center"/>
          </w:tcPr>
          <w:p>
            <w:pPr>
              <w:spacing w:line="240" w:lineRule="auto"/>
            </w:pPr>
            <w:r>
              <w:rPr>
                <w:rFonts w:hint="eastAsia"/>
              </w:rPr>
              <w:t>天面防尘</w:t>
            </w:r>
          </w:p>
        </w:tc>
        <w:tc>
          <w:tcPr>
            <w:tcW w:w="5673" w:type="dxa"/>
            <w:shd w:val="clear" w:color="auto" w:fill="auto"/>
            <w:noWrap/>
            <w:vAlign w:val="center"/>
          </w:tcPr>
          <w:p>
            <w:pPr>
              <w:spacing w:line="240" w:lineRule="auto"/>
            </w:pPr>
            <w:r>
              <w:rPr>
                <w:rFonts w:hint="eastAsia"/>
              </w:rPr>
              <w:t>环保地坪漆</w:t>
            </w:r>
          </w:p>
        </w:tc>
        <w:tc>
          <w:tcPr>
            <w:tcW w:w="850" w:type="dxa"/>
            <w:shd w:val="clear" w:color="auto" w:fill="auto"/>
            <w:noWrap/>
            <w:vAlign w:val="center"/>
          </w:tcPr>
          <w:p>
            <w:pPr>
              <w:spacing w:line="240" w:lineRule="auto"/>
            </w:pPr>
            <w:r>
              <w:rPr>
                <w:rFonts w:hint="eastAsia"/>
              </w:rPr>
              <w:t>M2</w:t>
            </w:r>
          </w:p>
        </w:tc>
        <w:tc>
          <w:tcPr>
            <w:tcW w:w="851" w:type="dxa"/>
            <w:shd w:val="clear" w:color="auto" w:fill="auto"/>
            <w:noWrap/>
            <w:vAlign w:val="center"/>
          </w:tcPr>
          <w:p>
            <w:pPr>
              <w:spacing w:line="240" w:lineRule="auto"/>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6</w:t>
            </w:r>
          </w:p>
        </w:tc>
        <w:tc>
          <w:tcPr>
            <w:tcW w:w="1694" w:type="dxa"/>
            <w:shd w:val="clear" w:color="auto" w:fill="auto"/>
            <w:noWrap/>
            <w:vAlign w:val="center"/>
          </w:tcPr>
          <w:p>
            <w:pPr>
              <w:spacing w:line="240" w:lineRule="auto"/>
            </w:pPr>
            <w:r>
              <w:rPr>
                <w:rFonts w:hint="eastAsia"/>
              </w:rPr>
              <w:t>天花龙骨</w:t>
            </w:r>
          </w:p>
        </w:tc>
        <w:tc>
          <w:tcPr>
            <w:tcW w:w="5673" w:type="dxa"/>
            <w:shd w:val="clear" w:color="auto" w:fill="auto"/>
            <w:noWrap/>
            <w:vAlign w:val="center"/>
          </w:tcPr>
          <w:p>
            <w:pPr>
              <w:spacing w:line="240" w:lineRule="auto"/>
            </w:pPr>
            <w:r>
              <w:rPr>
                <w:rFonts w:hint="eastAsia"/>
              </w:rPr>
              <w:t>50主龙骨及三角龙骨</w:t>
            </w:r>
          </w:p>
        </w:tc>
        <w:tc>
          <w:tcPr>
            <w:tcW w:w="850" w:type="dxa"/>
            <w:shd w:val="clear" w:color="auto" w:fill="auto"/>
            <w:noWrap/>
            <w:vAlign w:val="center"/>
          </w:tcPr>
          <w:p>
            <w:pPr>
              <w:spacing w:line="240" w:lineRule="auto"/>
            </w:pPr>
            <w:r>
              <w:rPr>
                <w:rFonts w:hint="eastAsia"/>
              </w:rPr>
              <w:t>M2</w:t>
            </w:r>
          </w:p>
        </w:tc>
        <w:tc>
          <w:tcPr>
            <w:tcW w:w="851" w:type="dxa"/>
            <w:shd w:val="clear" w:color="auto" w:fill="auto"/>
            <w:noWrap/>
            <w:vAlign w:val="center"/>
          </w:tcPr>
          <w:p>
            <w:pPr>
              <w:spacing w:line="240" w:lineRule="auto"/>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7</w:t>
            </w:r>
          </w:p>
        </w:tc>
        <w:tc>
          <w:tcPr>
            <w:tcW w:w="1694" w:type="dxa"/>
            <w:shd w:val="clear" w:color="auto" w:fill="auto"/>
            <w:noWrap/>
            <w:vAlign w:val="center"/>
          </w:tcPr>
          <w:p>
            <w:pPr>
              <w:spacing w:line="240" w:lineRule="auto"/>
            </w:pPr>
            <w:r>
              <w:rPr>
                <w:rFonts w:hint="eastAsia"/>
              </w:rPr>
              <w:t>铝扣天花</w:t>
            </w:r>
          </w:p>
        </w:tc>
        <w:tc>
          <w:tcPr>
            <w:tcW w:w="5673" w:type="dxa"/>
            <w:shd w:val="clear" w:color="auto" w:fill="auto"/>
            <w:noWrap/>
            <w:vAlign w:val="center"/>
          </w:tcPr>
          <w:p>
            <w:pPr>
              <w:spacing w:line="240" w:lineRule="auto"/>
            </w:pPr>
            <w:r>
              <w:rPr>
                <w:rFonts w:hint="eastAsia"/>
              </w:rPr>
              <w:t>乳白色烤漆、600mm*600mm*0.8mm、1.8微孔</w:t>
            </w:r>
          </w:p>
        </w:tc>
        <w:tc>
          <w:tcPr>
            <w:tcW w:w="850" w:type="dxa"/>
            <w:shd w:val="clear" w:color="auto" w:fill="auto"/>
            <w:noWrap/>
            <w:vAlign w:val="center"/>
          </w:tcPr>
          <w:p>
            <w:pPr>
              <w:spacing w:line="240" w:lineRule="auto"/>
            </w:pPr>
            <w:r>
              <w:rPr>
                <w:rFonts w:hint="eastAsia"/>
              </w:rPr>
              <w:t>M2</w:t>
            </w:r>
          </w:p>
        </w:tc>
        <w:tc>
          <w:tcPr>
            <w:tcW w:w="851" w:type="dxa"/>
            <w:shd w:val="clear" w:color="auto" w:fill="auto"/>
            <w:noWrap/>
            <w:vAlign w:val="center"/>
          </w:tcPr>
          <w:p>
            <w:pPr>
              <w:spacing w:line="240" w:lineRule="auto"/>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8</w:t>
            </w:r>
          </w:p>
        </w:tc>
        <w:tc>
          <w:tcPr>
            <w:tcW w:w="1694" w:type="dxa"/>
            <w:shd w:val="clear" w:color="auto" w:fill="auto"/>
            <w:noWrap/>
            <w:vAlign w:val="center"/>
          </w:tcPr>
          <w:p>
            <w:pPr>
              <w:spacing w:line="240" w:lineRule="auto"/>
            </w:pPr>
            <w:r>
              <w:rPr>
                <w:rFonts w:hint="eastAsia"/>
              </w:rPr>
              <w:t>天花收边条</w:t>
            </w:r>
          </w:p>
        </w:tc>
        <w:tc>
          <w:tcPr>
            <w:tcW w:w="5673" w:type="dxa"/>
            <w:shd w:val="clear" w:color="auto" w:fill="auto"/>
            <w:noWrap/>
            <w:vAlign w:val="center"/>
          </w:tcPr>
          <w:p>
            <w:pPr>
              <w:spacing w:line="240" w:lineRule="auto"/>
            </w:pPr>
            <w:r>
              <w:rPr>
                <w:rFonts w:hint="eastAsia"/>
              </w:rPr>
              <w:t>20mm白色</w:t>
            </w:r>
          </w:p>
        </w:tc>
        <w:tc>
          <w:tcPr>
            <w:tcW w:w="850" w:type="dxa"/>
            <w:shd w:val="clear" w:color="auto" w:fill="auto"/>
            <w:noWrap/>
            <w:vAlign w:val="center"/>
          </w:tcPr>
          <w:p>
            <w:pPr>
              <w:spacing w:line="240" w:lineRule="auto"/>
            </w:pPr>
            <w:r>
              <w:rPr>
                <w:rFonts w:hint="eastAsia"/>
              </w:rPr>
              <w:t>米</w:t>
            </w:r>
          </w:p>
        </w:tc>
        <w:tc>
          <w:tcPr>
            <w:tcW w:w="851" w:type="dxa"/>
            <w:shd w:val="clear" w:color="auto" w:fill="auto"/>
            <w:noWrap/>
            <w:vAlign w:val="center"/>
          </w:tcPr>
          <w:p>
            <w:pPr>
              <w:spacing w:line="240" w:lineRule="auto"/>
            </w:pPr>
            <w:r>
              <w:rPr>
                <w:rFonts w:hint="eastAsia"/>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9</w:t>
            </w:r>
          </w:p>
        </w:tc>
        <w:tc>
          <w:tcPr>
            <w:tcW w:w="1694" w:type="dxa"/>
            <w:shd w:val="clear" w:color="auto" w:fill="auto"/>
            <w:noWrap/>
            <w:vAlign w:val="center"/>
          </w:tcPr>
          <w:p>
            <w:pPr>
              <w:spacing w:line="240" w:lineRule="auto"/>
            </w:pPr>
            <w:r>
              <w:rPr>
                <w:rFonts w:hint="eastAsia"/>
              </w:rPr>
              <w:t>机房照明</w:t>
            </w:r>
          </w:p>
        </w:tc>
        <w:tc>
          <w:tcPr>
            <w:tcW w:w="5673" w:type="dxa"/>
            <w:shd w:val="clear" w:color="auto" w:fill="auto"/>
            <w:noWrap/>
            <w:vAlign w:val="center"/>
          </w:tcPr>
          <w:p>
            <w:pPr>
              <w:spacing w:line="240" w:lineRule="auto"/>
            </w:pPr>
            <w:r>
              <w:rPr>
                <w:rFonts w:hint="eastAsia"/>
              </w:rPr>
              <w:t>600*600 LED集成灯盘</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10</w:t>
            </w:r>
          </w:p>
        </w:tc>
        <w:tc>
          <w:tcPr>
            <w:tcW w:w="1694" w:type="dxa"/>
            <w:shd w:val="clear" w:color="auto" w:fill="auto"/>
            <w:noWrap/>
            <w:vAlign w:val="center"/>
          </w:tcPr>
          <w:p>
            <w:pPr>
              <w:spacing w:line="240" w:lineRule="auto"/>
            </w:pPr>
            <w:r>
              <w:rPr>
                <w:rFonts w:hint="eastAsia"/>
              </w:rPr>
              <w:t>照明供电</w:t>
            </w:r>
          </w:p>
        </w:tc>
        <w:tc>
          <w:tcPr>
            <w:tcW w:w="5673" w:type="dxa"/>
            <w:shd w:val="clear" w:color="auto" w:fill="auto"/>
            <w:noWrap/>
            <w:vAlign w:val="center"/>
          </w:tcPr>
          <w:p>
            <w:pPr>
              <w:spacing w:line="240" w:lineRule="auto"/>
            </w:pPr>
            <w:r>
              <w:rPr>
                <w:rFonts w:hint="eastAsia"/>
              </w:rPr>
              <w:t>照明供电线缆</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11</w:t>
            </w:r>
          </w:p>
        </w:tc>
        <w:tc>
          <w:tcPr>
            <w:tcW w:w="1694" w:type="dxa"/>
            <w:shd w:val="clear" w:color="auto" w:fill="auto"/>
            <w:noWrap/>
            <w:vAlign w:val="center"/>
          </w:tcPr>
          <w:p>
            <w:pPr>
              <w:spacing w:line="240" w:lineRule="auto"/>
            </w:pPr>
            <w:r>
              <w:rPr>
                <w:rFonts w:hint="eastAsia"/>
              </w:rPr>
              <w:t>墙面防尘</w:t>
            </w:r>
          </w:p>
        </w:tc>
        <w:tc>
          <w:tcPr>
            <w:tcW w:w="5673" w:type="dxa"/>
            <w:shd w:val="clear" w:color="auto" w:fill="auto"/>
            <w:noWrap/>
            <w:vAlign w:val="center"/>
          </w:tcPr>
          <w:p>
            <w:pPr>
              <w:spacing w:line="240" w:lineRule="auto"/>
            </w:pPr>
            <w:r>
              <w:rPr>
                <w:rFonts w:hint="eastAsia"/>
              </w:rPr>
              <w:t>环保地坪漆</w:t>
            </w:r>
          </w:p>
        </w:tc>
        <w:tc>
          <w:tcPr>
            <w:tcW w:w="850" w:type="dxa"/>
            <w:shd w:val="clear" w:color="auto" w:fill="auto"/>
            <w:noWrap/>
            <w:vAlign w:val="center"/>
          </w:tcPr>
          <w:p>
            <w:pPr>
              <w:spacing w:line="240" w:lineRule="auto"/>
            </w:pPr>
            <w:r>
              <w:rPr>
                <w:rFonts w:hint="eastAsia"/>
              </w:rPr>
              <w:t>M2</w:t>
            </w:r>
          </w:p>
        </w:tc>
        <w:tc>
          <w:tcPr>
            <w:tcW w:w="851" w:type="dxa"/>
            <w:shd w:val="clear" w:color="auto" w:fill="auto"/>
            <w:noWrap/>
            <w:vAlign w:val="center"/>
          </w:tcPr>
          <w:p>
            <w:pPr>
              <w:spacing w:line="240" w:lineRule="auto"/>
            </w:pPr>
            <w:r>
              <w:rPr>
                <w:rFonts w:hint="eastAsia"/>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12</w:t>
            </w:r>
          </w:p>
        </w:tc>
        <w:tc>
          <w:tcPr>
            <w:tcW w:w="1694" w:type="dxa"/>
            <w:shd w:val="clear" w:color="auto" w:fill="auto"/>
            <w:noWrap/>
            <w:vAlign w:val="center"/>
          </w:tcPr>
          <w:p>
            <w:pPr>
              <w:spacing w:line="240" w:lineRule="auto"/>
            </w:pPr>
            <w:r>
              <w:rPr>
                <w:rFonts w:hint="eastAsia"/>
              </w:rPr>
              <w:t>墙面龙骨</w:t>
            </w:r>
          </w:p>
        </w:tc>
        <w:tc>
          <w:tcPr>
            <w:tcW w:w="5673" w:type="dxa"/>
            <w:shd w:val="clear" w:color="auto" w:fill="auto"/>
            <w:noWrap/>
            <w:vAlign w:val="center"/>
          </w:tcPr>
          <w:p>
            <w:pPr>
              <w:spacing w:line="240" w:lineRule="auto"/>
            </w:pPr>
            <w:r>
              <w:rPr>
                <w:rFonts w:hint="eastAsia"/>
              </w:rPr>
              <w:t>75主龙骨</w:t>
            </w:r>
          </w:p>
        </w:tc>
        <w:tc>
          <w:tcPr>
            <w:tcW w:w="850" w:type="dxa"/>
            <w:shd w:val="clear" w:color="auto" w:fill="auto"/>
            <w:noWrap/>
            <w:vAlign w:val="center"/>
          </w:tcPr>
          <w:p>
            <w:pPr>
              <w:spacing w:line="240" w:lineRule="auto"/>
            </w:pPr>
            <w:r>
              <w:rPr>
                <w:rFonts w:hint="eastAsia"/>
              </w:rPr>
              <w:t>M2</w:t>
            </w:r>
          </w:p>
        </w:tc>
        <w:tc>
          <w:tcPr>
            <w:tcW w:w="851" w:type="dxa"/>
            <w:shd w:val="clear" w:color="auto" w:fill="auto"/>
            <w:noWrap/>
            <w:vAlign w:val="center"/>
          </w:tcPr>
          <w:p>
            <w:pPr>
              <w:spacing w:line="240" w:lineRule="auto"/>
            </w:pPr>
            <w:r>
              <w:rPr>
                <w:rFonts w:hint="eastAsia"/>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13</w:t>
            </w:r>
          </w:p>
        </w:tc>
        <w:tc>
          <w:tcPr>
            <w:tcW w:w="1694" w:type="dxa"/>
            <w:shd w:val="clear" w:color="auto" w:fill="auto"/>
            <w:noWrap/>
            <w:vAlign w:val="center"/>
          </w:tcPr>
          <w:p>
            <w:pPr>
              <w:spacing w:line="240" w:lineRule="auto"/>
            </w:pPr>
            <w:r>
              <w:rPr>
                <w:rFonts w:hint="eastAsia"/>
              </w:rPr>
              <w:t>墙面彩钢板</w:t>
            </w:r>
          </w:p>
        </w:tc>
        <w:tc>
          <w:tcPr>
            <w:tcW w:w="5673" w:type="dxa"/>
            <w:shd w:val="clear" w:color="auto" w:fill="auto"/>
            <w:noWrap/>
            <w:vAlign w:val="center"/>
          </w:tcPr>
          <w:p>
            <w:pPr>
              <w:spacing w:line="240" w:lineRule="auto"/>
            </w:pPr>
            <w:r>
              <w:rPr>
                <w:rFonts w:hint="eastAsia"/>
              </w:rPr>
              <w:t>漆面机房专用彩钢板</w:t>
            </w:r>
          </w:p>
        </w:tc>
        <w:tc>
          <w:tcPr>
            <w:tcW w:w="850" w:type="dxa"/>
            <w:shd w:val="clear" w:color="auto" w:fill="auto"/>
            <w:noWrap/>
            <w:vAlign w:val="center"/>
          </w:tcPr>
          <w:p>
            <w:pPr>
              <w:spacing w:line="240" w:lineRule="auto"/>
            </w:pPr>
            <w:r>
              <w:rPr>
                <w:rFonts w:hint="eastAsia"/>
              </w:rPr>
              <w:t>M2</w:t>
            </w:r>
          </w:p>
        </w:tc>
        <w:tc>
          <w:tcPr>
            <w:tcW w:w="851" w:type="dxa"/>
            <w:shd w:val="clear" w:color="auto" w:fill="auto"/>
            <w:noWrap/>
            <w:vAlign w:val="center"/>
          </w:tcPr>
          <w:p>
            <w:pPr>
              <w:spacing w:line="240" w:lineRule="auto"/>
            </w:pPr>
            <w:r>
              <w:rPr>
                <w:rFonts w:hint="eastAsia"/>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14</w:t>
            </w:r>
          </w:p>
        </w:tc>
        <w:tc>
          <w:tcPr>
            <w:tcW w:w="1694" w:type="dxa"/>
            <w:shd w:val="clear" w:color="auto" w:fill="auto"/>
            <w:noWrap/>
            <w:vAlign w:val="center"/>
          </w:tcPr>
          <w:p>
            <w:pPr>
              <w:spacing w:line="240" w:lineRule="auto"/>
            </w:pPr>
            <w:r>
              <w:rPr>
                <w:rFonts w:hint="eastAsia"/>
              </w:rPr>
              <w:t>防水围堰</w:t>
            </w:r>
          </w:p>
        </w:tc>
        <w:tc>
          <w:tcPr>
            <w:tcW w:w="5673" w:type="dxa"/>
            <w:shd w:val="clear" w:color="auto" w:fill="auto"/>
            <w:noWrap/>
            <w:vAlign w:val="center"/>
          </w:tcPr>
          <w:p>
            <w:pPr>
              <w:spacing w:line="240" w:lineRule="auto"/>
            </w:pPr>
            <w:r>
              <w:rPr>
                <w:rFonts w:hint="eastAsia"/>
              </w:rPr>
              <w:t>水泥浇筑</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15</w:t>
            </w:r>
          </w:p>
        </w:tc>
        <w:tc>
          <w:tcPr>
            <w:tcW w:w="1694" w:type="dxa"/>
            <w:shd w:val="clear" w:color="auto" w:fill="auto"/>
            <w:noWrap/>
            <w:vAlign w:val="center"/>
          </w:tcPr>
          <w:p>
            <w:pPr>
              <w:spacing w:line="240" w:lineRule="auto"/>
            </w:pPr>
            <w:r>
              <w:rPr>
                <w:rFonts w:hint="eastAsia"/>
              </w:rPr>
              <w:t>防静电地板</w:t>
            </w:r>
          </w:p>
        </w:tc>
        <w:tc>
          <w:tcPr>
            <w:tcW w:w="5673" w:type="dxa"/>
            <w:shd w:val="clear" w:color="auto" w:fill="auto"/>
            <w:noWrap/>
            <w:vAlign w:val="center"/>
          </w:tcPr>
          <w:p>
            <w:pPr>
              <w:spacing w:line="240" w:lineRule="auto"/>
            </w:pPr>
            <w:r>
              <w:rPr>
                <w:rFonts w:hint="eastAsia"/>
              </w:rPr>
              <w:t>全钢防静电地板，600*600，含支架</w:t>
            </w:r>
          </w:p>
        </w:tc>
        <w:tc>
          <w:tcPr>
            <w:tcW w:w="850" w:type="dxa"/>
            <w:shd w:val="clear" w:color="auto" w:fill="auto"/>
            <w:noWrap/>
            <w:vAlign w:val="center"/>
          </w:tcPr>
          <w:p>
            <w:pPr>
              <w:spacing w:line="240" w:lineRule="auto"/>
            </w:pPr>
            <w:r>
              <w:rPr>
                <w:rFonts w:hint="eastAsia"/>
              </w:rPr>
              <w:t>M2</w:t>
            </w:r>
          </w:p>
        </w:tc>
        <w:tc>
          <w:tcPr>
            <w:tcW w:w="851" w:type="dxa"/>
            <w:shd w:val="clear" w:color="auto" w:fill="auto"/>
            <w:noWrap/>
            <w:vAlign w:val="center"/>
          </w:tcPr>
          <w:p>
            <w:pPr>
              <w:spacing w:line="240" w:lineRule="auto"/>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16</w:t>
            </w:r>
          </w:p>
        </w:tc>
        <w:tc>
          <w:tcPr>
            <w:tcW w:w="1694" w:type="dxa"/>
            <w:shd w:val="clear" w:color="auto" w:fill="auto"/>
            <w:noWrap/>
            <w:vAlign w:val="center"/>
          </w:tcPr>
          <w:p>
            <w:pPr>
              <w:spacing w:line="240" w:lineRule="auto"/>
            </w:pPr>
            <w:r>
              <w:rPr>
                <w:rFonts w:hint="eastAsia"/>
              </w:rPr>
              <w:t>地板周边支架</w:t>
            </w:r>
          </w:p>
        </w:tc>
        <w:tc>
          <w:tcPr>
            <w:tcW w:w="5673" w:type="dxa"/>
            <w:shd w:val="clear" w:color="auto" w:fill="auto"/>
            <w:noWrap/>
            <w:vAlign w:val="center"/>
          </w:tcPr>
          <w:p>
            <w:pPr>
              <w:spacing w:line="240" w:lineRule="auto"/>
            </w:pPr>
            <w:r>
              <w:rPr>
                <w:rFonts w:hint="eastAsia"/>
              </w:rPr>
              <w:t>30mm角钢</w:t>
            </w:r>
          </w:p>
        </w:tc>
        <w:tc>
          <w:tcPr>
            <w:tcW w:w="850" w:type="dxa"/>
            <w:shd w:val="clear" w:color="auto" w:fill="auto"/>
            <w:noWrap/>
            <w:vAlign w:val="center"/>
          </w:tcPr>
          <w:p>
            <w:pPr>
              <w:spacing w:line="240" w:lineRule="auto"/>
            </w:pPr>
            <w:r>
              <w:rPr>
                <w:rFonts w:hint="eastAsia"/>
              </w:rPr>
              <w:t>米</w:t>
            </w:r>
          </w:p>
        </w:tc>
        <w:tc>
          <w:tcPr>
            <w:tcW w:w="851" w:type="dxa"/>
            <w:shd w:val="clear" w:color="auto" w:fill="auto"/>
            <w:noWrap/>
            <w:vAlign w:val="center"/>
          </w:tcPr>
          <w:p>
            <w:pPr>
              <w:spacing w:line="240" w:lineRule="auto"/>
            </w:pPr>
            <w:r>
              <w:rPr>
                <w:rFonts w:hint="eastAsia"/>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17</w:t>
            </w:r>
          </w:p>
        </w:tc>
        <w:tc>
          <w:tcPr>
            <w:tcW w:w="1694" w:type="dxa"/>
            <w:shd w:val="clear" w:color="auto" w:fill="auto"/>
            <w:noWrap/>
            <w:vAlign w:val="center"/>
          </w:tcPr>
          <w:p>
            <w:pPr>
              <w:spacing w:line="240" w:lineRule="auto"/>
            </w:pPr>
            <w:r>
              <w:rPr>
                <w:rFonts w:hint="eastAsia"/>
              </w:rPr>
              <w:t>铝合金踢脚线</w:t>
            </w:r>
          </w:p>
        </w:tc>
        <w:tc>
          <w:tcPr>
            <w:tcW w:w="5673" w:type="dxa"/>
            <w:shd w:val="clear" w:color="auto" w:fill="auto"/>
            <w:noWrap/>
            <w:vAlign w:val="center"/>
          </w:tcPr>
          <w:p>
            <w:pPr>
              <w:spacing w:line="240" w:lineRule="auto"/>
            </w:pPr>
            <w:r>
              <w:rPr>
                <w:rFonts w:hint="eastAsia"/>
              </w:rPr>
              <w:t>亮光拉丝,高度80mm，厚度1.2mm</w:t>
            </w:r>
          </w:p>
        </w:tc>
        <w:tc>
          <w:tcPr>
            <w:tcW w:w="850" w:type="dxa"/>
            <w:shd w:val="clear" w:color="auto" w:fill="auto"/>
            <w:noWrap/>
            <w:vAlign w:val="center"/>
          </w:tcPr>
          <w:p>
            <w:pPr>
              <w:spacing w:line="240" w:lineRule="auto"/>
            </w:pPr>
            <w:r>
              <w:rPr>
                <w:rFonts w:hint="eastAsia"/>
              </w:rPr>
              <w:t>米</w:t>
            </w:r>
          </w:p>
        </w:tc>
        <w:tc>
          <w:tcPr>
            <w:tcW w:w="851" w:type="dxa"/>
            <w:shd w:val="clear" w:color="auto" w:fill="auto"/>
            <w:noWrap/>
            <w:vAlign w:val="center"/>
          </w:tcPr>
          <w:p>
            <w:pPr>
              <w:spacing w:line="240" w:lineRule="auto"/>
            </w:pPr>
            <w:r>
              <w:rPr>
                <w:rFonts w:hint="eastAsia"/>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18</w:t>
            </w:r>
          </w:p>
        </w:tc>
        <w:tc>
          <w:tcPr>
            <w:tcW w:w="1694" w:type="dxa"/>
            <w:shd w:val="clear" w:color="auto" w:fill="auto"/>
            <w:noWrap/>
            <w:vAlign w:val="center"/>
          </w:tcPr>
          <w:p>
            <w:pPr>
              <w:spacing w:line="240" w:lineRule="auto"/>
            </w:pPr>
            <w:r>
              <w:rPr>
                <w:rFonts w:hint="eastAsia"/>
              </w:rPr>
              <w:t>双开不锈铁钢防火门</w:t>
            </w:r>
          </w:p>
        </w:tc>
        <w:tc>
          <w:tcPr>
            <w:tcW w:w="5673" w:type="dxa"/>
            <w:shd w:val="clear" w:color="auto" w:fill="auto"/>
            <w:noWrap/>
            <w:vAlign w:val="center"/>
          </w:tcPr>
          <w:p>
            <w:pPr>
              <w:spacing w:line="240" w:lineRule="auto"/>
            </w:pPr>
            <w:r>
              <w:rPr>
                <w:rFonts w:hint="eastAsia"/>
              </w:rPr>
              <w:t>甲级不锈钢防火门，1500*2100</w:t>
            </w:r>
          </w:p>
        </w:tc>
        <w:tc>
          <w:tcPr>
            <w:tcW w:w="850" w:type="dxa"/>
            <w:shd w:val="clear" w:color="auto" w:fill="auto"/>
            <w:noWrap/>
            <w:vAlign w:val="center"/>
          </w:tcPr>
          <w:p>
            <w:pPr>
              <w:spacing w:line="240" w:lineRule="auto"/>
            </w:pPr>
            <w:r>
              <w:rPr>
                <w:rFonts w:hint="eastAsia"/>
              </w:rPr>
              <w:t>樘</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19</w:t>
            </w:r>
          </w:p>
        </w:tc>
        <w:tc>
          <w:tcPr>
            <w:tcW w:w="1694" w:type="dxa"/>
            <w:shd w:val="clear" w:color="auto" w:fill="auto"/>
            <w:noWrap/>
            <w:vAlign w:val="center"/>
          </w:tcPr>
          <w:p>
            <w:pPr>
              <w:spacing w:line="240" w:lineRule="auto"/>
            </w:pPr>
            <w:r>
              <w:rPr>
                <w:rFonts w:hint="eastAsia"/>
              </w:rPr>
              <w:t>防鼠板</w:t>
            </w:r>
          </w:p>
        </w:tc>
        <w:tc>
          <w:tcPr>
            <w:tcW w:w="5673" w:type="dxa"/>
            <w:shd w:val="clear" w:color="auto" w:fill="auto"/>
            <w:noWrap/>
            <w:vAlign w:val="center"/>
          </w:tcPr>
          <w:p>
            <w:pPr>
              <w:spacing w:line="240" w:lineRule="auto"/>
            </w:pPr>
            <w:r>
              <w:rPr>
                <w:rFonts w:hint="eastAsia"/>
              </w:rPr>
              <w:t>不锈钢定制</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20</w:t>
            </w:r>
          </w:p>
        </w:tc>
        <w:tc>
          <w:tcPr>
            <w:tcW w:w="1694" w:type="dxa"/>
            <w:shd w:val="clear" w:color="auto" w:fill="auto"/>
            <w:noWrap/>
            <w:vAlign w:val="center"/>
          </w:tcPr>
          <w:p>
            <w:pPr>
              <w:spacing w:line="240" w:lineRule="auto"/>
            </w:pPr>
            <w:r>
              <w:rPr>
                <w:rFonts w:hint="eastAsia"/>
              </w:rPr>
              <w:t>装修辅材</w:t>
            </w:r>
          </w:p>
        </w:tc>
        <w:tc>
          <w:tcPr>
            <w:tcW w:w="5673" w:type="dxa"/>
            <w:shd w:val="clear" w:color="auto" w:fill="auto"/>
            <w:noWrap/>
            <w:vAlign w:val="center"/>
          </w:tcPr>
          <w:p>
            <w:pPr>
              <w:spacing w:line="240" w:lineRule="auto"/>
            </w:pPr>
            <w:r>
              <w:rPr>
                <w:rFonts w:hint="eastAsia"/>
              </w:rPr>
              <w:t>拉钉，螺栓，螺纹杆等</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21</w:t>
            </w:r>
          </w:p>
        </w:tc>
        <w:tc>
          <w:tcPr>
            <w:tcW w:w="1694" w:type="dxa"/>
            <w:shd w:val="clear" w:color="auto" w:fill="auto"/>
            <w:noWrap/>
            <w:vAlign w:val="center"/>
          </w:tcPr>
          <w:p>
            <w:pPr>
              <w:spacing w:line="240" w:lineRule="auto"/>
            </w:pPr>
            <w:r>
              <w:rPr>
                <w:rFonts w:hint="eastAsia"/>
              </w:rPr>
              <w:t>空调管路</w:t>
            </w:r>
          </w:p>
        </w:tc>
        <w:tc>
          <w:tcPr>
            <w:tcW w:w="5673" w:type="dxa"/>
            <w:shd w:val="clear" w:color="auto" w:fill="auto"/>
            <w:noWrap/>
            <w:vAlign w:val="center"/>
          </w:tcPr>
          <w:p>
            <w:pPr>
              <w:spacing w:line="240" w:lineRule="auto"/>
            </w:pPr>
            <w:r>
              <w:rPr>
                <w:rFonts w:hint="eastAsia"/>
              </w:rPr>
              <w:t>气管液管保温</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22</w:t>
            </w:r>
          </w:p>
        </w:tc>
        <w:tc>
          <w:tcPr>
            <w:tcW w:w="1694" w:type="dxa"/>
            <w:shd w:val="clear" w:color="auto" w:fill="auto"/>
            <w:noWrap/>
            <w:vAlign w:val="center"/>
          </w:tcPr>
          <w:p>
            <w:pPr>
              <w:spacing w:line="240" w:lineRule="auto"/>
            </w:pPr>
            <w:r>
              <w:rPr>
                <w:rFonts w:hint="eastAsia"/>
              </w:rPr>
              <w:t>室外机供电</w:t>
            </w:r>
          </w:p>
        </w:tc>
        <w:tc>
          <w:tcPr>
            <w:tcW w:w="5673" w:type="dxa"/>
            <w:shd w:val="clear" w:color="auto" w:fill="auto"/>
            <w:noWrap/>
            <w:vAlign w:val="center"/>
          </w:tcPr>
          <w:p>
            <w:pPr>
              <w:spacing w:line="240" w:lineRule="auto"/>
            </w:pPr>
            <w:r>
              <w:rPr>
                <w:rFonts w:hint="eastAsia"/>
              </w:rPr>
              <w:t>线缆</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23</w:t>
            </w:r>
          </w:p>
        </w:tc>
        <w:tc>
          <w:tcPr>
            <w:tcW w:w="1694" w:type="dxa"/>
            <w:shd w:val="clear" w:color="auto" w:fill="auto"/>
            <w:noWrap/>
            <w:vAlign w:val="center"/>
          </w:tcPr>
          <w:p>
            <w:pPr>
              <w:spacing w:line="240" w:lineRule="auto"/>
            </w:pPr>
            <w:r>
              <w:rPr>
                <w:rFonts w:hint="eastAsia"/>
              </w:rPr>
              <w:t>信号线</w:t>
            </w:r>
          </w:p>
        </w:tc>
        <w:tc>
          <w:tcPr>
            <w:tcW w:w="5673" w:type="dxa"/>
            <w:shd w:val="clear" w:color="auto" w:fill="auto"/>
            <w:noWrap/>
            <w:vAlign w:val="center"/>
          </w:tcPr>
          <w:p>
            <w:pPr>
              <w:spacing w:line="240" w:lineRule="auto"/>
            </w:pPr>
            <w:r>
              <w:rPr>
                <w:rFonts w:hint="eastAsia"/>
              </w:rPr>
              <w:t>信号线</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24</w:t>
            </w:r>
          </w:p>
        </w:tc>
        <w:tc>
          <w:tcPr>
            <w:tcW w:w="1694" w:type="dxa"/>
            <w:shd w:val="clear" w:color="auto" w:fill="auto"/>
            <w:noWrap/>
            <w:vAlign w:val="center"/>
          </w:tcPr>
          <w:p>
            <w:pPr>
              <w:spacing w:line="240" w:lineRule="auto"/>
            </w:pPr>
            <w:r>
              <w:rPr>
                <w:rFonts w:hint="eastAsia"/>
              </w:rPr>
              <w:t>电池电缆</w:t>
            </w:r>
          </w:p>
        </w:tc>
        <w:tc>
          <w:tcPr>
            <w:tcW w:w="5673" w:type="dxa"/>
            <w:shd w:val="clear" w:color="auto" w:fill="auto"/>
            <w:noWrap/>
            <w:vAlign w:val="center"/>
          </w:tcPr>
          <w:p>
            <w:pPr>
              <w:spacing w:line="240" w:lineRule="auto"/>
            </w:pPr>
            <w:r>
              <w:rPr>
                <w:rFonts w:hint="eastAsia"/>
              </w:rPr>
              <w:t>电池连接线</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25</w:t>
            </w:r>
          </w:p>
        </w:tc>
        <w:tc>
          <w:tcPr>
            <w:tcW w:w="1694" w:type="dxa"/>
            <w:shd w:val="clear" w:color="auto" w:fill="auto"/>
            <w:noWrap/>
            <w:vAlign w:val="center"/>
          </w:tcPr>
          <w:p>
            <w:pPr>
              <w:spacing w:line="240" w:lineRule="auto"/>
            </w:pPr>
            <w:r>
              <w:rPr>
                <w:rFonts w:hint="eastAsia"/>
              </w:rPr>
              <w:t>机柜供电</w:t>
            </w:r>
          </w:p>
        </w:tc>
        <w:tc>
          <w:tcPr>
            <w:tcW w:w="5673" w:type="dxa"/>
            <w:shd w:val="clear" w:color="auto" w:fill="auto"/>
            <w:noWrap/>
            <w:vAlign w:val="center"/>
          </w:tcPr>
          <w:p>
            <w:pPr>
              <w:spacing w:line="240" w:lineRule="auto"/>
            </w:pPr>
            <w:r>
              <w:rPr>
                <w:rFonts w:hint="eastAsia"/>
              </w:rPr>
              <w:t>ZR-RVV3*6</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26</w:t>
            </w:r>
          </w:p>
        </w:tc>
        <w:tc>
          <w:tcPr>
            <w:tcW w:w="1694" w:type="dxa"/>
            <w:shd w:val="clear" w:color="auto" w:fill="auto"/>
            <w:noWrap/>
            <w:vAlign w:val="center"/>
          </w:tcPr>
          <w:p>
            <w:pPr>
              <w:spacing w:line="240" w:lineRule="auto"/>
            </w:pPr>
            <w:r>
              <w:rPr>
                <w:rFonts w:hint="eastAsia"/>
              </w:rPr>
              <w:t>机房插座</w:t>
            </w:r>
          </w:p>
        </w:tc>
        <w:tc>
          <w:tcPr>
            <w:tcW w:w="5673" w:type="dxa"/>
            <w:shd w:val="clear" w:color="auto" w:fill="auto"/>
            <w:noWrap/>
            <w:vAlign w:val="center"/>
          </w:tcPr>
          <w:p>
            <w:pPr>
              <w:spacing w:line="240" w:lineRule="auto"/>
            </w:pPr>
            <w:r>
              <w:rPr>
                <w:rFonts w:hint="eastAsia"/>
              </w:rPr>
              <w:t>机房检修插座，二三插国标</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27</w:t>
            </w:r>
          </w:p>
        </w:tc>
        <w:tc>
          <w:tcPr>
            <w:tcW w:w="1694" w:type="dxa"/>
            <w:shd w:val="clear" w:color="auto" w:fill="auto"/>
            <w:noWrap/>
            <w:vAlign w:val="center"/>
          </w:tcPr>
          <w:p>
            <w:pPr>
              <w:spacing w:line="240" w:lineRule="auto"/>
            </w:pPr>
            <w:r>
              <w:rPr>
                <w:rFonts w:hint="eastAsia"/>
              </w:rPr>
              <w:t>插座供电</w:t>
            </w:r>
          </w:p>
        </w:tc>
        <w:tc>
          <w:tcPr>
            <w:tcW w:w="5673" w:type="dxa"/>
            <w:shd w:val="clear" w:color="auto" w:fill="auto"/>
            <w:noWrap/>
            <w:vAlign w:val="center"/>
          </w:tcPr>
          <w:p>
            <w:pPr>
              <w:spacing w:line="240" w:lineRule="auto"/>
            </w:pPr>
            <w:r>
              <w:rPr>
                <w:rFonts w:hint="eastAsia"/>
              </w:rPr>
              <w:t>插座供电线缆</w:t>
            </w:r>
          </w:p>
        </w:tc>
        <w:tc>
          <w:tcPr>
            <w:tcW w:w="850" w:type="dxa"/>
            <w:shd w:val="clear" w:color="auto" w:fill="auto"/>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28</w:t>
            </w:r>
          </w:p>
        </w:tc>
        <w:tc>
          <w:tcPr>
            <w:tcW w:w="1694" w:type="dxa"/>
            <w:shd w:val="clear" w:color="auto" w:fill="auto"/>
            <w:noWrap/>
            <w:vAlign w:val="center"/>
          </w:tcPr>
          <w:p>
            <w:pPr>
              <w:spacing w:line="240" w:lineRule="auto"/>
            </w:pPr>
            <w:r>
              <w:rPr>
                <w:rFonts w:hint="eastAsia"/>
              </w:rPr>
              <w:t>机房新风系统</w:t>
            </w:r>
          </w:p>
        </w:tc>
        <w:tc>
          <w:tcPr>
            <w:tcW w:w="5673" w:type="dxa"/>
            <w:shd w:val="clear" w:color="auto" w:fill="auto"/>
            <w:noWrap/>
            <w:vAlign w:val="center"/>
          </w:tcPr>
          <w:p>
            <w:pPr>
              <w:spacing w:line="240" w:lineRule="auto"/>
            </w:pPr>
            <w:r>
              <w:rPr>
                <w:rFonts w:hint="eastAsia"/>
              </w:rPr>
              <w:t>3000风量节能新风机</w:t>
            </w:r>
          </w:p>
        </w:tc>
        <w:tc>
          <w:tcPr>
            <w:tcW w:w="850" w:type="dxa"/>
            <w:shd w:val="clear" w:color="auto" w:fill="auto"/>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29</w:t>
            </w:r>
          </w:p>
        </w:tc>
        <w:tc>
          <w:tcPr>
            <w:tcW w:w="1694" w:type="dxa"/>
            <w:shd w:val="clear" w:color="auto" w:fill="auto"/>
            <w:vAlign w:val="center"/>
          </w:tcPr>
          <w:p>
            <w:pPr>
              <w:spacing w:line="240" w:lineRule="auto"/>
            </w:pPr>
            <w:r>
              <w:rPr>
                <w:rFonts w:hint="eastAsia"/>
              </w:rPr>
              <w:t>新风管道</w:t>
            </w:r>
          </w:p>
        </w:tc>
        <w:tc>
          <w:tcPr>
            <w:tcW w:w="5673" w:type="dxa"/>
            <w:shd w:val="clear" w:color="auto" w:fill="auto"/>
            <w:vAlign w:val="center"/>
          </w:tcPr>
          <w:p>
            <w:pPr>
              <w:spacing w:line="240" w:lineRule="auto"/>
            </w:pPr>
            <w:r>
              <w:rPr>
                <w:rFonts w:hint="eastAsia"/>
              </w:rPr>
              <w:t>镀锌钢板定制，400*400，外贴保温棉</w:t>
            </w:r>
          </w:p>
        </w:tc>
        <w:tc>
          <w:tcPr>
            <w:tcW w:w="850" w:type="dxa"/>
            <w:shd w:val="clear" w:color="auto" w:fill="auto"/>
            <w:vAlign w:val="center"/>
          </w:tcPr>
          <w:p>
            <w:pPr>
              <w:spacing w:line="240" w:lineRule="auto"/>
            </w:pPr>
            <w:r>
              <w:rPr>
                <w:rFonts w:hint="eastAsia"/>
              </w:rPr>
              <w:t>套</w:t>
            </w:r>
          </w:p>
        </w:tc>
        <w:tc>
          <w:tcPr>
            <w:tcW w:w="851" w:type="dxa"/>
            <w:shd w:val="clear" w:color="auto" w:fill="auto"/>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30</w:t>
            </w:r>
          </w:p>
        </w:tc>
        <w:tc>
          <w:tcPr>
            <w:tcW w:w="1694" w:type="dxa"/>
            <w:shd w:val="clear" w:color="auto" w:fill="auto"/>
            <w:vAlign w:val="center"/>
          </w:tcPr>
          <w:p>
            <w:pPr>
              <w:spacing w:line="240" w:lineRule="auto"/>
            </w:pPr>
            <w:r>
              <w:rPr>
                <w:rFonts w:hint="eastAsia"/>
              </w:rPr>
              <w:t>新风风口</w:t>
            </w:r>
          </w:p>
        </w:tc>
        <w:tc>
          <w:tcPr>
            <w:tcW w:w="5673" w:type="dxa"/>
            <w:shd w:val="clear" w:color="auto" w:fill="auto"/>
            <w:vAlign w:val="center"/>
          </w:tcPr>
          <w:p>
            <w:pPr>
              <w:spacing w:line="240" w:lineRule="auto"/>
            </w:pPr>
            <w:r>
              <w:rPr>
                <w:rFonts w:hint="eastAsia"/>
              </w:rPr>
              <w:t>铝合金格栅回风口</w:t>
            </w:r>
          </w:p>
        </w:tc>
        <w:tc>
          <w:tcPr>
            <w:tcW w:w="850" w:type="dxa"/>
            <w:shd w:val="clear" w:color="auto" w:fill="auto"/>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31</w:t>
            </w:r>
          </w:p>
        </w:tc>
        <w:tc>
          <w:tcPr>
            <w:tcW w:w="1694" w:type="dxa"/>
            <w:shd w:val="clear" w:color="auto" w:fill="auto"/>
            <w:vAlign w:val="center"/>
          </w:tcPr>
          <w:p>
            <w:pPr>
              <w:spacing w:line="240" w:lineRule="auto"/>
            </w:pPr>
            <w:r>
              <w:rPr>
                <w:rFonts w:hint="eastAsia"/>
              </w:rPr>
              <w:t>新风防火阀</w:t>
            </w:r>
          </w:p>
        </w:tc>
        <w:tc>
          <w:tcPr>
            <w:tcW w:w="5673" w:type="dxa"/>
            <w:shd w:val="clear" w:color="auto" w:fill="auto"/>
            <w:vAlign w:val="center"/>
          </w:tcPr>
          <w:p>
            <w:pPr>
              <w:spacing w:line="240" w:lineRule="auto"/>
            </w:pPr>
            <w:r>
              <w:rPr>
                <w:rFonts w:hint="eastAsia"/>
              </w:rPr>
              <w:t>新风管道防火阀</w:t>
            </w:r>
          </w:p>
        </w:tc>
        <w:tc>
          <w:tcPr>
            <w:tcW w:w="850" w:type="dxa"/>
            <w:shd w:val="clear" w:color="auto" w:fill="auto"/>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32</w:t>
            </w:r>
          </w:p>
        </w:tc>
        <w:tc>
          <w:tcPr>
            <w:tcW w:w="1694" w:type="dxa"/>
            <w:shd w:val="clear" w:color="auto" w:fill="auto"/>
            <w:vAlign w:val="center"/>
          </w:tcPr>
          <w:p>
            <w:pPr>
              <w:spacing w:line="240" w:lineRule="auto"/>
            </w:pPr>
            <w:r>
              <w:rPr>
                <w:rFonts w:hint="eastAsia"/>
              </w:rPr>
              <w:t>强排风机</w:t>
            </w:r>
          </w:p>
        </w:tc>
        <w:tc>
          <w:tcPr>
            <w:tcW w:w="5673" w:type="dxa"/>
            <w:shd w:val="clear" w:color="auto" w:fill="auto"/>
            <w:vAlign w:val="center"/>
          </w:tcPr>
          <w:p>
            <w:pPr>
              <w:spacing w:line="240" w:lineRule="auto"/>
            </w:pPr>
            <w:r>
              <w:rPr>
                <w:rFonts w:hint="eastAsia"/>
              </w:rPr>
              <w:t>4500风量轴流排风机</w:t>
            </w:r>
          </w:p>
        </w:tc>
        <w:tc>
          <w:tcPr>
            <w:tcW w:w="850" w:type="dxa"/>
            <w:shd w:val="clear" w:color="auto" w:fill="auto"/>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33</w:t>
            </w:r>
          </w:p>
        </w:tc>
        <w:tc>
          <w:tcPr>
            <w:tcW w:w="1694" w:type="dxa"/>
            <w:shd w:val="clear" w:color="auto" w:fill="auto"/>
            <w:vAlign w:val="center"/>
          </w:tcPr>
          <w:p>
            <w:pPr>
              <w:spacing w:line="240" w:lineRule="auto"/>
            </w:pPr>
            <w:r>
              <w:rPr>
                <w:rFonts w:hint="eastAsia"/>
              </w:rPr>
              <w:t>排风管道</w:t>
            </w:r>
          </w:p>
        </w:tc>
        <w:tc>
          <w:tcPr>
            <w:tcW w:w="5673" w:type="dxa"/>
            <w:shd w:val="clear" w:color="auto" w:fill="auto"/>
            <w:vAlign w:val="center"/>
          </w:tcPr>
          <w:p>
            <w:pPr>
              <w:spacing w:line="240" w:lineRule="auto"/>
            </w:pPr>
            <w:r>
              <w:rPr>
                <w:rFonts w:hint="eastAsia"/>
              </w:rPr>
              <w:t>镀锌钢板定制，400*400，外贴保温棉</w:t>
            </w:r>
          </w:p>
        </w:tc>
        <w:tc>
          <w:tcPr>
            <w:tcW w:w="850" w:type="dxa"/>
            <w:shd w:val="clear" w:color="auto" w:fill="auto"/>
            <w:vAlign w:val="center"/>
          </w:tcPr>
          <w:p>
            <w:pPr>
              <w:spacing w:line="240" w:lineRule="auto"/>
            </w:pPr>
            <w:r>
              <w:rPr>
                <w:rFonts w:hint="eastAsia"/>
              </w:rPr>
              <w:t>套</w:t>
            </w:r>
          </w:p>
        </w:tc>
        <w:tc>
          <w:tcPr>
            <w:tcW w:w="851" w:type="dxa"/>
            <w:shd w:val="clear" w:color="auto" w:fill="auto"/>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34</w:t>
            </w:r>
          </w:p>
        </w:tc>
        <w:tc>
          <w:tcPr>
            <w:tcW w:w="1694" w:type="dxa"/>
            <w:shd w:val="clear" w:color="auto" w:fill="auto"/>
            <w:vAlign w:val="center"/>
          </w:tcPr>
          <w:p>
            <w:pPr>
              <w:spacing w:line="240" w:lineRule="auto"/>
            </w:pPr>
            <w:r>
              <w:rPr>
                <w:rFonts w:hint="eastAsia"/>
              </w:rPr>
              <w:t>排风风口</w:t>
            </w:r>
          </w:p>
        </w:tc>
        <w:tc>
          <w:tcPr>
            <w:tcW w:w="5673" w:type="dxa"/>
            <w:shd w:val="clear" w:color="auto" w:fill="auto"/>
            <w:vAlign w:val="center"/>
          </w:tcPr>
          <w:p>
            <w:pPr>
              <w:spacing w:line="240" w:lineRule="auto"/>
            </w:pPr>
            <w:r>
              <w:rPr>
                <w:rFonts w:hint="eastAsia"/>
              </w:rPr>
              <w:t>铝合金格栅回风口</w:t>
            </w:r>
          </w:p>
        </w:tc>
        <w:tc>
          <w:tcPr>
            <w:tcW w:w="850" w:type="dxa"/>
            <w:shd w:val="clear" w:color="auto" w:fill="auto"/>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35</w:t>
            </w:r>
          </w:p>
        </w:tc>
        <w:tc>
          <w:tcPr>
            <w:tcW w:w="1694" w:type="dxa"/>
            <w:shd w:val="clear" w:color="auto" w:fill="auto"/>
            <w:vAlign w:val="center"/>
          </w:tcPr>
          <w:p>
            <w:pPr>
              <w:spacing w:line="240" w:lineRule="auto"/>
            </w:pPr>
            <w:r>
              <w:rPr>
                <w:rFonts w:hint="eastAsia"/>
              </w:rPr>
              <w:t>排风防火阀</w:t>
            </w:r>
          </w:p>
        </w:tc>
        <w:tc>
          <w:tcPr>
            <w:tcW w:w="5673" w:type="dxa"/>
            <w:shd w:val="clear" w:color="auto" w:fill="auto"/>
            <w:vAlign w:val="center"/>
          </w:tcPr>
          <w:p>
            <w:pPr>
              <w:spacing w:line="240" w:lineRule="auto"/>
            </w:pPr>
            <w:r>
              <w:rPr>
                <w:rFonts w:hint="eastAsia"/>
              </w:rPr>
              <w:t>排风管道防火阀</w:t>
            </w:r>
          </w:p>
        </w:tc>
        <w:tc>
          <w:tcPr>
            <w:tcW w:w="850" w:type="dxa"/>
            <w:shd w:val="clear" w:color="auto" w:fill="auto"/>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36</w:t>
            </w:r>
          </w:p>
        </w:tc>
        <w:tc>
          <w:tcPr>
            <w:tcW w:w="1694" w:type="dxa"/>
            <w:shd w:val="clear" w:color="auto" w:fill="auto"/>
            <w:vAlign w:val="center"/>
          </w:tcPr>
          <w:p>
            <w:pPr>
              <w:spacing w:line="240" w:lineRule="auto"/>
            </w:pPr>
            <w:r>
              <w:rPr>
                <w:rFonts w:hint="eastAsia"/>
              </w:rPr>
              <w:t>等电位接地网</w:t>
            </w:r>
          </w:p>
        </w:tc>
        <w:tc>
          <w:tcPr>
            <w:tcW w:w="5673" w:type="dxa"/>
            <w:shd w:val="clear" w:color="auto" w:fill="auto"/>
            <w:vAlign w:val="center"/>
          </w:tcPr>
          <w:p>
            <w:pPr>
              <w:spacing w:line="240" w:lineRule="auto"/>
            </w:pPr>
            <w:r>
              <w:rPr>
                <w:rFonts w:hint="eastAsia"/>
              </w:rPr>
              <w:t>30*3铜排接地网</w:t>
            </w:r>
          </w:p>
        </w:tc>
        <w:tc>
          <w:tcPr>
            <w:tcW w:w="850" w:type="dxa"/>
            <w:shd w:val="clear" w:color="auto" w:fill="auto"/>
            <w:vAlign w:val="center"/>
          </w:tcPr>
          <w:p>
            <w:pPr>
              <w:spacing w:line="240" w:lineRule="auto"/>
            </w:pPr>
            <w:r>
              <w:rPr>
                <w:rFonts w:hint="eastAsia"/>
              </w:rPr>
              <w:t>米</w:t>
            </w:r>
          </w:p>
        </w:tc>
        <w:tc>
          <w:tcPr>
            <w:tcW w:w="851" w:type="dxa"/>
            <w:shd w:val="clear" w:color="auto" w:fill="auto"/>
            <w:noWrap/>
            <w:vAlign w:val="center"/>
          </w:tcPr>
          <w:p>
            <w:pPr>
              <w:spacing w:line="240" w:lineRule="auto"/>
            </w:pPr>
            <w:r>
              <w:rPr>
                <w:rFonts w:hint="eastAsia"/>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40" w:type="dxa"/>
            <w:shd w:val="clear" w:color="auto" w:fill="auto"/>
            <w:noWrap/>
            <w:vAlign w:val="center"/>
          </w:tcPr>
          <w:p>
            <w:pPr>
              <w:spacing w:line="240" w:lineRule="auto"/>
            </w:pPr>
            <w:r>
              <w:rPr>
                <w:rFonts w:hint="eastAsia"/>
              </w:rPr>
              <w:t>37</w:t>
            </w:r>
          </w:p>
        </w:tc>
        <w:tc>
          <w:tcPr>
            <w:tcW w:w="1694" w:type="dxa"/>
            <w:shd w:val="clear" w:color="auto" w:fill="auto"/>
            <w:vAlign w:val="center"/>
          </w:tcPr>
          <w:p>
            <w:pPr>
              <w:spacing w:line="240" w:lineRule="auto"/>
            </w:pPr>
            <w:r>
              <w:rPr>
                <w:rFonts w:hint="eastAsia"/>
              </w:rPr>
              <w:t>接地线缆</w:t>
            </w:r>
          </w:p>
        </w:tc>
        <w:tc>
          <w:tcPr>
            <w:tcW w:w="5673" w:type="dxa"/>
            <w:shd w:val="clear" w:color="auto" w:fill="auto"/>
            <w:vAlign w:val="center"/>
          </w:tcPr>
          <w:p>
            <w:pPr>
              <w:spacing w:line="240" w:lineRule="auto"/>
            </w:pPr>
            <w:r>
              <w:rPr>
                <w:rFonts w:hint="eastAsia"/>
              </w:rPr>
              <w:t>ZR-BVR6mm2</w:t>
            </w:r>
          </w:p>
        </w:tc>
        <w:tc>
          <w:tcPr>
            <w:tcW w:w="850" w:type="dxa"/>
            <w:shd w:val="clear" w:color="auto" w:fill="auto"/>
            <w:vAlign w:val="center"/>
          </w:tcPr>
          <w:p>
            <w:pPr>
              <w:spacing w:line="240" w:lineRule="auto"/>
            </w:pPr>
            <w:r>
              <w:rPr>
                <w:rFonts w:hint="eastAsia"/>
              </w:rPr>
              <w:t>米</w:t>
            </w:r>
          </w:p>
        </w:tc>
        <w:tc>
          <w:tcPr>
            <w:tcW w:w="851" w:type="dxa"/>
            <w:shd w:val="clear" w:color="auto" w:fill="auto"/>
            <w:noWrap/>
            <w:vAlign w:val="center"/>
          </w:tcPr>
          <w:p>
            <w:pPr>
              <w:spacing w:line="240" w:lineRule="auto"/>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38</w:t>
            </w:r>
          </w:p>
        </w:tc>
        <w:tc>
          <w:tcPr>
            <w:tcW w:w="1694" w:type="dxa"/>
            <w:shd w:val="clear" w:color="auto" w:fill="auto"/>
            <w:vAlign w:val="center"/>
          </w:tcPr>
          <w:p>
            <w:pPr>
              <w:spacing w:line="240" w:lineRule="auto"/>
            </w:pPr>
            <w:r>
              <w:rPr>
                <w:rFonts w:hint="eastAsia"/>
              </w:rPr>
              <w:t>防雷接地配件</w:t>
            </w:r>
          </w:p>
        </w:tc>
        <w:tc>
          <w:tcPr>
            <w:tcW w:w="5673" w:type="dxa"/>
            <w:shd w:val="clear" w:color="auto" w:fill="auto"/>
            <w:vAlign w:val="center"/>
          </w:tcPr>
          <w:p>
            <w:pPr>
              <w:spacing w:line="240" w:lineRule="auto"/>
            </w:pPr>
            <w:r>
              <w:rPr>
                <w:rFonts w:hint="eastAsia"/>
              </w:rPr>
              <w:t>绝缘子，螺丝，铜鼻等</w:t>
            </w:r>
          </w:p>
        </w:tc>
        <w:tc>
          <w:tcPr>
            <w:tcW w:w="850" w:type="dxa"/>
            <w:shd w:val="clear" w:color="auto" w:fill="auto"/>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39</w:t>
            </w:r>
          </w:p>
        </w:tc>
        <w:tc>
          <w:tcPr>
            <w:tcW w:w="1694" w:type="dxa"/>
            <w:shd w:val="clear" w:color="auto" w:fill="auto"/>
            <w:vAlign w:val="center"/>
          </w:tcPr>
          <w:p>
            <w:pPr>
              <w:spacing w:line="240" w:lineRule="auto"/>
            </w:pPr>
            <w:r>
              <w:rPr>
                <w:rFonts w:hint="eastAsia"/>
              </w:rPr>
              <w:t>防雷检测</w:t>
            </w:r>
          </w:p>
        </w:tc>
        <w:tc>
          <w:tcPr>
            <w:tcW w:w="5673" w:type="dxa"/>
            <w:shd w:val="clear" w:color="auto" w:fill="auto"/>
            <w:vAlign w:val="center"/>
          </w:tcPr>
          <w:p>
            <w:pPr>
              <w:spacing w:line="240" w:lineRule="auto"/>
            </w:pPr>
            <w:r>
              <w:rPr>
                <w:rFonts w:hint="eastAsia"/>
              </w:rPr>
              <w:t>官方检测机构出具检测报告</w:t>
            </w:r>
          </w:p>
        </w:tc>
        <w:tc>
          <w:tcPr>
            <w:tcW w:w="850" w:type="dxa"/>
            <w:shd w:val="clear" w:color="auto" w:fill="auto"/>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40</w:t>
            </w:r>
          </w:p>
        </w:tc>
        <w:tc>
          <w:tcPr>
            <w:tcW w:w="1694" w:type="dxa"/>
            <w:shd w:val="clear" w:color="auto" w:fill="auto"/>
            <w:noWrap/>
            <w:vAlign w:val="center"/>
          </w:tcPr>
          <w:p>
            <w:pPr>
              <w:spacing w:line="240" w:lineRule="auto"/>
            </w:pPr>
            <w:r>
              <w:rPr>
                <w:rFonts w:hint="eastAsia"/>
              </w:rPr>
              <w:t>辅材</w:t>
            </w:r>
          </w:p>
        </w:tc>
        <w:tc>
          <w:tcPr>
            <w:tcW w:w="5673" w:type="dxa"/>
            <w:shd w:val="clear" w:color="auto" w:fill="auto"/>
            <w:noWrap/>
            <w:vAlign w:val="center"/>
          </w:tcPr>
          <w:p>
            <w:pPr>
              <w:spacing w:line="240" w:lineRule="auto"/>
            </w:pPr>
            <w:r>
              <w:rPr>
                <w:rFonts w:hint="eastAsia"/>
              </w:rPr>
              <w:t>　</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41</w:t>
            </w:r>
          </w:p>
        </w:tc>
        <w:tc>
          <w:tcPr>
            <w:tcW w:w="1694" w:type="dxa"/>
            <w:shd w:val="clear" w:color="auto" w:fill="auto"/>
            <w:noWrap/>
            <w:vAlign w:val="center"/>
          </w:tcPr>
          <w:p>
            <w:pPr>
              <w:spacing w:line="240" w:lineRule="auto"/>
            </w:pPr>
            <w:r>
              <w:rPr>
                <w:rFonts w:hint="eastAsia"/>
              </w:rPr>
              <w:t>分项垃圾处理费</w:t>
            </w:r>
          </w:p>
        </w:tc>
        <w:tc>
          <w:tcPr>
            <w:tcW w:w="5673" w:type="dxa"/>
            <w:shd w:val="clear" w:color="auto" w:fill="auto"/>
            <w:noWrap/>
            <w:vAlign w:val="center"/>
          </w:tcPr>
          <w:p>
            <w:pPr>
              <w:spacing w:line="240" w:lineRule="auto"/>
            </w:pP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42</w:t>
            </w:r>
          </w:p>
        </w:tc>
        <w:tc>
          <w:tcPr>
            <w:tcW w:w="1694" w:type="dxa"/>
            <w:shd w:val="clear" w:color="auto" w:fill="auto"/>
            <w:noWrap/>
            <w:vAlign w:val="center"/>
          </w:tcPr>
          <w:p>
            <w:pPr>
              <w:spacing w:line="240" w:lineRule="auto"/>
            </w:pPr>
            <w:r>
              <w:rPr>
                <w:rFonts w:hint="eastAsia"/>
              </w:rPr>
              <w:t>分项措施费</w:t>
            </w:r>
          </w:p>
        </w:tc>
        <w:tc>
          <w:tcPr>
            <w:tcW w:w="5673" w:type="dxa"/>
            <w:shd w:val="clear" w:color="auto" w:fill="auto"/>
            <w:noWrap/>
            <w:vAlign w:val="center"/>
          </w:tcPr>
          <w:p>
            <w:pPr>
              <w:spacing w:line="240" w:lineRule="auto"/>
            </w:pPr>
            <w:r>
              <w:rPr>
                <w:rFonts w:hint="eastAsia"/>
              </w:rPr>
              <w:t>　</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43</w:t>
            </w:r>
          </w:p>
        </w:tc>
        <w:tc>
          <w:tcPr>
            <w:tcW w:w="1694" w:type="dxa"/>
            <w:shd w:val="clear" w:color="auto" w:fill="auto"/>
            <w:noWrap/>
            <w:vAlign w:val="center"/>
          </w:tcPr>
          <w:p>
            <w:pPr>
              <w:spacing w:line="240" w:lineRule="auto"/>
            </w:pPr>
            <w:r>
              <w:rPr>
                <w:rFonts w:hint="eastAsia"/>
              </w:rPr>
              <w:t>分项安装费</w:t>
            </w:r>
          </w:p>
        </w:tc>
        <w:tc>
          <w:tcPr>
            <w:tcW w:w="5673" w:type="dxa"/>
            <w:shd w:val="clear" w:color="auto" w:fill="auto"/>
            <w:noWrap/>
            <w:vAlign w:val="center"/>
          </w:tcPr>
          <w:p>
            <w:pPr>
              <w:spacing w:line="240" w:lineRule="auto"/>
            </w:pP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44</w:t>
            </w:r>
          </w:p>
        </w:tc>
        <w:tc>
          <w:tcPr>
            <w:tcW w:w="1694" w:type="dxa"/>
            <w:shd w:val="clear" w:color="auto" w:fill="auto"/>
            <w:noWrap/>
            <w:vAlign w:val="center"/>
          </w:tcPr>
          <w:p>
            <w:pPr>
              <w:spacing w:line="240" w:lineRule="auto"/>
            </w:pPr>
            <w:r>
              <w:rPr>
                <w:rFonts w:hint="eastAsia"/>
              </w:rPr>
              <w:t>分项管理费</w:t>
            </w:r>
          </w:p>
        </w:tc>
        <w:tc>
          <w:tcPr>
            <w:tcW w:w="5673" w:type="dxa"/>
            <w:shd w:val="clear" w:color="auto" w:fill="auto"/>
            <w:noWrap/>
            <w:vAlign w:val="center"/>
          </w:tcPr>
          <w:p>
            <w:pPr>
              <w:spacing w:line="240" w:lineRule="auto"/>
            </w:pP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0" w:type="dxa"/>
            <w:shd w:val="clear" w:color="auto" w:fill="auto"/>
            <w:noWrap/>
            <w:vAlign w:val="center"/>
          </w:tcPr>
          <w:p>
            <w:pPr>
              <w:spacing w:line="240" w:lineRule="auto"/>
            </w:pPr>
            <w:r>
              <w:rPr>
                <w:rFonts w:hint="eastAsia"/>
              </w:rPr>
              <w:t>45</w:t>
            </w:r>
          </w:p>
        </w:tc>
        <w:tc>
          <w:tcPr>
            <w:tcW w:w="1694" w:type="dxa"/>
            <w:shd w:val="clear" w:color="auto" w:fill="auto"/>
            <w:noWrap/>
            <w:vAlign w:val="center"/>
          </w:tcPr>
          <w:p>
            <w:pPr>
              <w:spacing w:line="240" w:lineRule="auto"/>
            </w:pPr>
            <w:r>
              <w:rPr>
                <w:rFonts w:hint="eastAsia"/>
              </w:rPr>
              <w:t>分项运杂费</w:t>
            </w:r>
          </w:p>
        </w:tc>
        <w:tc>
          <w:tcPr>
            <w:tcW w:w="5673" w:type="dxa"/>
            <w:shd w:val="clear" w:color="auto" w:fill="auto"/>
            <w:noWrap/>
            <w:vAlign w:val="center"/>
          </w:tcPr>
          <w:p>
            <w:pPr>
              <w:spacing w:line="240" w:lineRule="auto"/>
            </w:pP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8" w:type="dxa"/>
            <w:gridSpan w:val="5"/>
            <w:shd w:val="clear" w:color="auto" w:fill="auto"/>
            <w:noWrap/>
            <w:vAlign w:val="center"/>
          </w:tcPr>
          <w:p>
            <w:pPr>
              <w:spacing w:line="240" w:lineRule="auto"/>
            </w:pPr>
            <w:r>
              <w:rPr>
                <w:rFonts w:hint="eastAsia"/>
              </w:rPr>
              <w:t>2.模块化数据中心机柜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w:t>
            </w:r>
          </w:p>
        </w:tc>
        <w:tc>
          <w:tcPr>
            <w:tcW w:w="1694" w:type="dxa"/>
            <w:shd w:val="clear" w:color="auto" w:fill="auto"/>
            <w:noWrap/>
            <w:vAlign w:val="center"/>
          </w:tcPr>
          <w:p>
            <w:pPr>
              <w:spacing w:line="240" w:lineRule="auto"/>
            </w:pPr>
            <w:r>
              <w:rPr>
                <w:rFonts w:hint="eastAsia"/>
              </w:rPr>
              <w:t>一体化UPS</w:t>
            </w:r>
            <w:r>
              <w:rPr>
                <w:rFonts w:hint="eastAsia"/>
              </w:rPr>
              <w:br w:type="textWrapping"/>
            </w:r>
            <w:r>
              <w:rPr>
                <w:rFonts w:hint="eastAsia"/>
              </w:rPr>
              <w:t>机框</w:t>
            </w:r>
          </w:p>
        </w:tc>
        <w:tc>
          <w:tcPr>
            <w:tcW w:w="5673" w:type="dxa"/>
            <w:shd w:val="clear" w:color="auto" w:fill="auto"/>
            <w:noWrap/>
            <w:vAlign w:val="center"/>
          </w:tcPr>
          <w:p>
            <w:pPr>
              <w:spacing w:line="240" w:lineRule="auto"/>
            </w:pPr>
            <w:r>
              <w:rPr>
                <w:rFonts w:hint="eastAsia"/>
              </w:rPr>
              <w:t>1、一体化UPS系统柜，满足双路市电输入，配置不低于400A的ATS双路切换开关；UPS最大容量不低于150KVA，单个功率模块为30kVA，功率模块高度2U，柜体外观尺寸（宽*深*高）：600*1200*2000mm，须与封闭冷通道内的服务器机柜一致，统一美观；</w:t>
            </w:r>
          </w:p>
          <w:p>
            <w:pPr>
              <w:spacing w:line="240" w:lineRule="auto"/>
            </w:pPr>
            <w:r>
              <w:rPr>
                <w:rFonts w:hint="eastAsia"/>
              </w:rPr>
              <w:t>2、支持实现双路市电切换、市电配电、空调配电、UPS输出配电，UPS和配电部分集成于同一机柜；配置满足空调支路≥4路63A/3P、3路40A/3P，IT负载支路≥24路40A/1P，标配C级防雷设计，采用标准上进上出走线。</w:t>
            </w:r>
          </w:p>
          <w:p>
            <w:pPr>
              <w:spacing w:line="240" w:lineRule="auto"/>
            </w:pPr>
            <w:r>
              <w:rPr>
                <w:rFonts w:hint="eastAsia"/>
              </w:rPr>
              <w:t>3、标配不小于7英寸触摸液晶屏，设备操作采用硬件+软件组合方式，双键开关按钮防误操作，确保在触摸屏失效时依然可以开关机操作。</w:t>
            </w:r>
          </w:p>
          <w:p>
            <w:pPr>
              <w:spacing w:line="240" w:lineRule="auto"/>
            </w:pPr>
            <w:r>
              <w:rPr>
                <w:rFonts w:hint="eastAsia"/>
              </w:rPr>
              <w:t>4、一体化UPS采用单屏显示，显示内容集成配电与UPS显示内容，显示屏置于设备门板之外；</w:t>
            </w:r>
          </w:p>
          <w:p>
            <w:pPr>
              <w:spacing w:line="240" w:lineRule="auto"/>
            </w:pPr>
            <w:r>
              <w:rPr>
                <w:rFonts w:hint="eastAsia"/>
              </w:rPr>
              <w:t>5、支持智能ECO模式，在超级ECO旁路供电的基础上优化电网质量，功率模块能对旁路电源进行谐波补偿，提高旁路PF值和THDV、以及降低THDI，单机和并机系统均支持WECO模式，可以设置ECO执行计划。</w:t>
            </w:r>
          </w:p>
          <w:p>
            <w:pPr>
              <w:spacing w:line="240" w:lineRule="auto"/>
            </w:pPr>
            <w:r>
              <w:rPr>
                <w:rFonts w:hint="eastAsia"/>
              </w:rPr>
              <w:t>6、具有UPS智能录波功能，有利于现场故障分析和快速故障定位，缩短维护时间。</w:t>
            </w:r>
          </w:p>
          <w:p>
            <w:pPr>
              <w:spacing w:line="240" w:lineRule="auto"/>
            </w:pPr>
            <w:r>
              <w:rPr>
                <w:rFonts w:hint="eastAsia"/>
              </w:rPr>
              <w:t>7、UPS近端标配EPO按钮，同时具备远程EPO干接点接口，确保现场紧急状况下能够快速断电，保护设备安全。</w:t>
            </w:r>
          </w:p>
          <w:p>
            <w:pPr>
              <w:spacing w:line="240" w:lineRule="auto"/>
            </w:pPr>
            <w:r>
              <w:rPr>
                <w:rFonts w:hint="eastAsia"/>
              </w:rPr>
              <w:t>8、UPS具备自老化功能。</w:t>
            </w:r>
          </w:p>
          <w:p>
            <w:pPr>
              <w:spacing w:line="240" w:lineRule="auto"/>
            </w:pPr>
            <w:r>
              <w:rPr>
                <w:rFonts w:hint="eastAsia"/>
              </w:rPr>
              <w:t>9、变频器功能 ：具备变频功能，在50Hz（或60Hz）电网里获得60Hz（或50Hz）的输出；</w:t>
            </w:r>
          </w:p>
          <w:p>
            <w:pPr>
              <w:spacing w:line="240" w:lineRule="auto"/>
            </w:pPr>
            <w:r>
              <w:rPr>
                <w:rFonts w:hint="eastAsia"/>
              </w:rPr>
              <w:t>10、电池智能管理：电池管理功能丰富，既方便电池日常维护，也可延长电池使用寿命。</w:t>
            </w:r>
          </w:p>
          <w:p>
            <w:pPr>
              <w:spacing w:line="240" w:lineRule="auto"/>
            </w:pPr>
            <w:r>
              <w:rPr>
                <w:rFonts w:hint="eastAsia"/>
              </w:rPr>
              <w:t>11、模块化UPS采用集中旁路，避免分散旁路出现电流不均衡、不可控引起故障；且要求旁路具有独立接线和开关控制，提高供电可靠性；</w:t>
            </w:r>
          </w:p>
          <w:p>
            <w:pPr>
              <w:spacing w:line="240" w:lineRule="auto"/>
            </w:pPr>
            <w:r>
              <w:rPr>
                <w:rFonts w:hint="eastAsia"/>
              </w:rPr>
              <w:t>12、应能够实现模块化UPS的资产安全管理功能，不仅支持电容、风扇等关键部件具备失效告警功能，提醒运维人员及时更换器件，实现器件级管理，还可通过主机面板记录更换备品备件的种类、日期与ID，实现备品备件的资产追溯与档案管理，运维省心无忧。</w:t>
            </w:r>
          </w:p>
          <w:p>
            <w:pPr>
              <w:spacing w:line="240" w:lineRule="auto"/>
            </w:pPr>
            <w:r>
              <w:rPr>
                <w:rFonts w:hint="eastAsia"/>
              </w:rPr>
              <w:t xml:space="preserve">13、配电实现智能监控，可实时检测UPS的运行状态、主路及支路电气参数： </w:t>
            </w:r>
          </w:p>
          <w:p>
            <w:pPr>
              <w:spacing w:line="240" w:lineRule="auto"/>
            </w:pPr>
            <w:r>
              <w:rPr>
                <w:rFonts w:hint="eastAsia"/>
              </w:rPr>
              <w:t>1)液晶触摸屏：采用7英寸LCD触摸屏，彩色显示，标配RS485接口/232，提供Modbus通信协议。</w:t>
            </w:r>
          </w:p>
          <w:p>
            <w:pPr>
              <w:spacing w:line="240" w:lineRule="auto"/>
            </w:pPr>
            <w:r>
              <w:rPr>
                <w:rFonts w:hint="eastAsia"/>
              </w:rPr>
              <w:t>2)检测单元：实时采集UPS 输入/输出/维修旁路空开、ATS 开关（主电/备电）、防雷器、各支路开关状态的状态；</w:t>
            </w:r>
          </w:p>
          <w:p>
            <w:pPr>
              <w:spacing w:line="240" w:lineRule="auto"/>
            </w:pPr>
            <w:r>
              <w:rPr>
                <w:rFonts w:hint="eastAsia"/>
              </w:rPr>
              <w:t xml:space="preserve">3)UPS输入/输出电压、UPS输出电流、UPS输出频率、蓄电池电压、充/放电电流； </w:t>
            </w:r>
          </w:p>
          <w:p>
            <w:pPr>
              <w:spacing w:line="240" w:lineRule="auto"/>
            </w:pPr>
            <w:r>
              <w:rPr>
                <w:rFonts w:hint="eastAsia"/>
              </w:rPr>
              <w:t>4)主路输入相电压、电流、频率、功率因素、电能、有功/无功/视在功率、负载率等；各配电支路电压、电流、功率、电能、负载率等参数。</w:t>
            </w:r>
          </w:p>
          <w:p>
            <w:pPr>
              <w:spacing w:line="240" w:lineRule="auto"/>
            </w:pPr>
            <w:r>
              <w:rPr>
                <w:rFonts w:hint="eastAsia"/>
              </w:rPr>
              <w:t>14、额定电压12V蓄电池不低于±16～±23节、电池节数可调范围大，现场配置更加灵活。</w:t>
            </w:r>
          </w:p>
          <w:p>
            <w:pPr>
              <w:spacing w:line="240" w:lineRule="auto"/>
            </w:pPr>
            <w:r>
              <w:rPr>
                <w:rFonts w:hint="eastAsia"/>
              </w:rPr>
              <w:t>15、UPS具备自动除尘功能，当设备运行周期较长或设备积尘过多时，UPS启动自动在线除尘功能，无需停机维护，防范未然，提高供电可靠性。</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0" w:type="dxa"/>
            <w:shd w:val="clear" w:color="auto" w:fill="auto"/>
            <w:noWrap/>
            <w:vAlign w:val="center"/>
          </w:tcPr>
          <w:p>
            <w:pPr>
              <w:spacing w:line="240" w:lineRule="auto"/>
            </w:pPr>
            <w:r>
              <w:rPr>
                <w:rFonts w:hint="eastAsia"/>
              </w:rPr>
              <w:t>2</w:t>
            </w:r>
          </w:p>
        </w:tc>
        <w:tc>
          <w:tcPr>
            <w:tcW w:w="1694" w:type="dxa"/>
            <w:shd w:val="clear" w:color="auto" w:fill="auto"/>
            <w:noWrap/>
            <w:vAlign w:val="center"/>
          </w:tcPr>
          <w:p>
            <w:pPr>
              <w:spacing w:line="240" w:lineRule="auto"/>
            </w:pPr>
            <w:r>
              <w:rPr>
                <w:rFonts w:hint="eastAsia"/>
              </w:rPr>
              <w:t>UPS功率模块</w:t>
            </w:r>
          </w:p>
        </w:tc>
        <w:tc>
          <w:tcPr>
            <w:tcW w:w="5673" w:type="dxa"/>
            <w:shd w:val="clear" w:color="auto" w:fill="auto"/>
            <w:noWrap/>
            <w:vAlign w:val="center"/>
          </w:tcPr>
          <w:p>
            <w:pPr>
              <w:spacing w:line="240" w:lineRule="auto"/>
            </w:pPr>
            <w:r>
              <w:rPr>
                <w:rFonts w:hint="eastAsia"/>
              </w:rPr>
              <w:t>1、功率30kVA，支持热拔插</w:t>
            </w:r>
            <w:r>
              <w:rPr>
                <w:rFonts w:hint="eastAsia"/>
              </w:rPr>
              <w:br w:type="textWrapping"/>
            </w:r>
            <w:r>
              <w:rPr>
                <w:rFonts w:hint="eastAsia"/>
              </w:rPr>
              <w:t>2、标准机架尺寸，高度2U</w:t>
            </w:r>
            <w:r>
              <w:rPr>
                <w:rFonts w:hint="eastAsia"/>
              </w:rPr>
              <w:br w:type="textWrapping"/>
            </w:r>
            <w:r>
              <w:rPr>
                <w:rFonts w:hint="eastAsia"/>
              </w:rPr>
              <w:t>3、高频结构，输入功率因数高达0.99，输入电流谐波THDI&lt;3%</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w:t>
            </w:r>
          </w:p>
        </w:tc>
        <w:tc>
          <w:tcPr>
            <w:tcW w:w="1694" w:type="dxa"/>
            <w:shd w:val="clear" w:color="auto" w:fill="auto"/>
            <w:noWrap/>
            <w:vAlign w:val="center"/>
          </w:tcPr>
          <w:p>
            <w:pPr>
              <w:spacing w:line="240" w:lineRule="auto"/>
            </w:pPr>
            <w:r>
              <w:rPr>
                <w:rFonts w:hint="eastAsia"/>
              </w:rPr>
              <w:t>蓄电池</w:t>
            </w:r>
          </w:p>
        </w:tc>
        <w:tc>
          <w:tcPr>
            <w:tcW w:w="5673" w:type="dxa"/>
            <w:shd w:val="clear" w:color="auto" w:fill="auto"/>
            <w:noWrap/>
            <w:vAlign w:val="center"/>
          </w:tcPr>
          <w:p>
            <w:pPr>
              <w:spacing w:line="240" w:lineRule="auto"/>
            </w:pPr>
            <w:r>
              <w:rPr>
                <w:rFonts w:hint="eastAsia"/>
              </w:rPr>
              <w:t>100AH/12V，铅酸蓄电池；</w:t>
            </w:r>
            <w:r>
              <w:rPr>
                <w:rFonts w:hint="eastAsia"/>
              </w:rPr>
              <w:br w:type="textWrapping"/>
            </w:r>
            <w:r>
              <w:rPr>
                <w:rFonts w:hint="eastAsia"/>
              </w:rPr>
              <w:t>电池尺寸：483*171*219mm（长*宽*高）100AH/12V，铅酸蓄电池；</w:t>
            </w:r>
          </w:p>
          <w:p>
            <w:pPr>
              <w:spacing w:line="240" w:lineRule="auto"/>
            </w:pPr>
            <w:r>
              <w:rPr>
                <w:rFonts w:hint="eastAsia"/>
              </w:rPr>
              <w:t>1.产品工作条件要求：蓄电池产品应能在温度:-15~+50℃条件下工作。</w:t>
            </w:r>
          </w:p>
          <w:p>
            <w:pPr>
              <w:spacing w:line="240" w:lineRule="auto"/>
            </w:pPr>
            <w:r>
              <w:rPr>
                <w:rFonts w:hint="eastAsia"/>
              </w:rPr>
              <w:t>2.蓄电池安全阀开阀压力应满足范围:10~25kPa，闭阀压力应满足范围:10~20kPa；</w:t>
            </w:r>
          </w:p>
          <w:p>
            <w:pPr>
              <w:spacing w:line="240" w:lineRule="auto"/>
            </w:pPr>
            <w:r>
              <w:rPr>
                <w:rFonts w:hint="eastAsia"/>
              </w:rPr>
              <w:t>3.密封反应效率要求:蓄电池密封反应效率应不低于 97%；</w:t>
            </w:r>
          </w:p>
          <w:p>
            <w:pPr>
              <w:spacing w:line="240" w:lineRule="auto"/>
            </w:pPr>
            <w:r>
              <w:rPr>
                <w:rFonts w:hint="eastAsia"/>
              </w:rPr>
              <w:t>4.容量保存率要求：蓄电池封置28天后，其容量保存率应不低于97%；</w:t>
            </w:r>
          </w:p>
          <w:p>
            <w:pPr>
              <w:spacing w:line="240" w:lineRule="auto"/>
            </w:pPr>
            <w:r>
              <w:rPr>
                <w:rFonts w:hint="eastAsia"/>
              </w:rPr>
              <w:t>5.容量一致性：同组蓄电池10小时率容量试验时，最大实际容量与最小实际容量差值≤3.5%；</w:t>
            </w:r>
          </w:p>
          <w:p>
            <w:pPr>
              <w:spacing w:line="240" w:lineRule="auto"/>
            </w:pPr>
            <w:r>
              <w:rPr>
                <w:rFonts w:hint="eastAsia"/>
              </w:rPr>
              <w:t>6.电池间连续压降：5.5I10放电条件下，△U应≤6mV；</w:t>
            </w:r>
          </w:p>
        </w:tc>
        <w:tc>
          <w:tcPr>
            <w:tcW w:w="850" w:type="dxa"/>
            <w:shd w:val="clear" w:color="auto" w:fill="auto"/>
            <w:noWrap/>
            <w:vAlign w:val="center"/>
          </w:tcPr>
          <w:p>
            <w:pPr>
              <w:spacing w:line="240" w:lineRule="auto"/>
            </w:pPr>
            <w:r>
              <w:rPr>
                <w:rFonts w:hint="eastAsia"/>
              </w:rPr>
              <w:t>节</w:t>
            </w:r>
          </w:p>
        </w:tc>
        <w:tc>
          <w:tcPr>
            <w:tcW w:w="851" w:type="dxa"/>
            <w:shd w:val="clear" w:color="auto" w:fill="auto"/>
            <w:noWrap/>
            <w:vAlign w:val="center"/>
          </w:tcPr>
          <w:p>
            <w:pPr>
              <w:spacing w:line="240" w:lineRule="auto"/>
            </w:pPr>
            <w:r>
              <w:rPr>
                <w:rFonts w:hint="eastAsia"/>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4</w:t>
            </w:r>
          </w:p>
        </w:tc>
        <w:tc>
          <w:tcPr>
            <w:tcW w:w="1694" w:type="dxa"/>
            <w:shd w:val="clear" w:color="auto" w:fill="auto"/>
            <w:noWrap/>
            <w:vAlign w:val="center"/>
          </w:tcPr>
          <w:p>
            <w:pPr>
              <w:spacing w:line="240" w:lineRule="auto"/>
            </w:pPr>
            <w:r>
              <w:rPr>
                <w:rFonts w:hint="eastAsia"/>
              </w:rPr>
              <w:t>电池柜</w:t>
            </w:r>
          </w:p>
        </w:tc>
        <w:tc>
          <w:tcPr>
            <w:tcW w:w="5673" w:type="dxa"/>
            <w:shd w:val="clear" w:color="auto" w:fill="auto"/>
            <w:noWrap/>
            <w:vAlign w:val="center"/>
          </w:tcPr>
          <w:p>
            <w:pPr>
              <w:spacing w:line="240" w:lineRule="auto"/>
            </w:pPr>
            <w:r>
              <w:rPr>
                <w:rFonts w:hint="eastAsia"/>
              </w:rPr>
              <w:t>可放置32节，6-GFM-100-YT铅酸蓄电池</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5</w:t>
            </w:r>
          </w:p>
        </w:tc>
        <w:tc>
          <w:tcPr>
            <w:tcW w:w="1694" w:type="dxa"/>
            <w:shd w:val="clear" w:color="auto" w:fill="auto"/>
            <w:noWrap/>
            <w:vAlign w:val="center"/>
          </w:tcPr>
          <w:p>
            <w:pPr>
              <w:spacing w:line="240" w:lineRule="auto"/>
            </w:pPr>
            <w:r>
              <w:rPr>
                <w:rFonts w:hint="eastAsia"/>
              </w:rPr>
              <w:t>开关箱</w:t>
            </w:r>
          </w:p>
        </w:tc>
        <w:tc>
          <w:tcPr>
            <w:tcW w:w="5673" w:type="dxa"/>
            <w:shd w:val="clear" w:color="auto" w:fill="auto"/>
            <w:noWrap/>
            <w:vAlign w:val="center"/>
          </w:tcPr>
          <w:p>
            <w:pPr>
              <w:spacing w:line="240" w:lineRule="auto"/>
            </w:pPr>
            <w:r>
              <w:rPr>
                <w:rFonts w:hint="eastAsia"/>
              </w:rPr>
              <w:t>推荐主路采用400A/3P直流断路器</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6</w:t>
            </w:r>
          </w:p>
        </w:tc>
        <w:tc>
          <w:tcPr>
            <w:tcW w:w="1694" w:type="dxa"/>
            <w:shd w:val="clear" w:color="auto" w:fill="auto"/>
            <w:noWrap/>
            <w:vAlign w:val="center"/>
          </w:tcPr>
          <w:p>
            <w:pPr>
              <w:spacing w:line="240" w:lineRule="auto"/>
            </w:pPr>
            <w:r>
              <w:rPr>
                <w:rFonts w:hint="eastAsia"/>
              </w:rPr>
              <w:t>直流输出线</w:t>
            </w:r>
          </w:p>
        </w:tc>
        <w:tc>
          <w:tcPr>
            <w:tcW w:w="5673" w:type="dxa"/>
            <w:shd w:val="clear" w:color="auto" w:fill="auto"/>
            <w:noWrap/>
            <w:vAlign w:val="center"/>
          </w:tcPr>
          <w:p>
            <w:pPr>
              <w:spacing w:line="240" w:lineRule="auto"/>
            </w:pPr>
            <w:r>
              <w:rPr>
                <w:rFonts w:hint="eastAsia"/>
              </w:rPr>
              <w:t>含电池连接铜排及连接配件，标配电池柜之间及到电池开关箱的连接线及连接配件</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40" w:type="dxa"/>
            <w:shd w:val="clear" w:color="auto" w:fill="auto"/>
            <w:noWrap/>
            <w:vAlign w:val="center"/>
          </w:tcPr>
          <w:p>
            <w:pPr>
              <w:spacing w:line="240" w:lineRule="auto"/>
            </w:pPr>
            <w:r>
              <w:rPr>
                <w:rFonts w:hint="eastAsia"/>
              </w:rPr>
              <w:t>7</w:t>
            </w:r>
          </w:p>
        </w:tc>
        <w:tc>
          <w:tcPr>
            <w:tcW w:w="1694" w:type="dxa"/>
            <w:shd w:val="clear" w:color="auto" w:fill="auto"/>
            <w:noWrap/>
            <w:vAlign w:val="center"/>
          </w:tcPr>
          <w:p>
            <w:pPr>
              <w:spacing w:line="240" w:lineRule="auto"/>
            </w:pPr>
            <w:r>
              <w:rPr>
                <w:rFonts w:hint="eastAsia"/>
              </w:rPr>
              <w:t>列间空调室内机</w:t>
            </w:r>
          </w:p>
        </w:tc>
        <w:tc>
          <w:tcPr>
            <w:tcW w:w="5673" w:type="dxa"/>
            <w:shd w:val="clear" w:color="auto" w:fill="auto"/>
            <w:noWrap/>
            <w:vAlign w:val="center"/>
          </w:tcPr>
          <w:p>
            <w:pPr>
              <w:spacing w:line="240" w:lineRule="auto"/>
            </w:pPr>
            <w:r>
              <w:rPr>
                <w:rFonts w:hint="eastAsia"/>
              </w:rPr>
              <w:t>1、空调内机尺寸为宽*深*高：600*1200*2000mm；</w:t>
            </w:r>
            <w:r>
              <w:rPr>
                <w:rFonts w:hint="eastAsia"/>
              </w:rPr>
              <w:br w:type="textWrapping"/>
            </w:r>
            <w:r>
              <w:rPr>
                <w:rFonts w:hint="eastAsia"/>
              </w:rPr>
              <w:t>2、要求室内侧温度 37℃，室外侧温度35°C工况下，制冷量应≥40kw，显热比应≥0.95，并且机组制冷能效比应大于3.5；</w:t>
            </w:r>
            <w:r>
              <w:rPr>
                <w:rFonts w:hint="eastAsia"/>
              </w:rPr>
              <w:br w:type="textWrapping"/>
            </w:r>
            <w:r>
              <w:rPr>
                <w:rFonts w:hint="eastAsia"/>
              </w:rPr>
              <w:t>3、标配加热功能、加湿功能，风量需≥8500m3/h，加湿量需≥2kg/h，加热量需≥6kw；</w:t>
            </w:r>
            <w:r>
              <w:rPr>
                <w:rFonts w:hint="eastAsia"/>
              </w:rPr>
              <w:br w:type="textWrapping"/>
            </w:r>
            <w:r>
              <w:rPr>
                <w:rFonts w:hint="eastAsia"/>
              </w:rPr>
              <w:t xml:space="preserve">4、为保证可靠性并减少空调的风机维护工作，EC风机应采用N+1冗余配置，风机数量不小于10个，任意风机故障，仍可确保全风量运行；                                               </w:t>
            </w:r>
            <w:r>
              <w:rPr>
                <w:rFonts w:hint="eastAsia"/>
              </w:rPr>
              <w:br w:type="textWrapping"/>
            </w:r>
            <w:r>
              <w:rPr>
                <w:rFonts w:hint="eastAsia"/>
              </w:rPr>
              <w:t>5、空调机组应采用低功的耗湿膜加湿方式，节能省电，适用范围广，同时在加湿过程中无需消耗功率；</w:t>
            </w:r>
            <w:r>
              <w:rPr>
                <w:rFonts w:hint="eastAsia"/>
              </w:rPr>
              <w:br w:type="textWrapping"/>
            </w:r>
            <w:r>
              <w:rPr>
                <w:rFonts w:hint="eastAsia"/>
              </w:rPr>
              <w:t>6、要求采用直流变频压缩机，要求压缩机具有较高的能效比，且冷量输出可实现20%-100%连续调节；</w:t>
            </w:r>
            <w:r>
              <w:rPr>
                <w:rFonts w:hint="eastAsia"/>
              </w:rPr>
              <w:br w:type="textWrapping"/>
            </w:r>
            <w:r>
              <w:rPr>
                <w:rFonts w:hint="eastAsia"/>
              </w:rPr>
              <w:t xml:space="preserve">7、应选用高效内螺纹“V”型大面积蒸发器，保障换热效率；空调应配置可多次清洗及在线更换的空气过滤器，滤网标称效率等级不低于初效G4； </w:t>
            </w:r>
            <w:r>
              <w:rPr>
                <w:rFonts w:hint="eastAsia"/>
              </w:rPr>
              <w:br w:type="textWrapping"/>
            </w:r>
            <w:r>
              <w:rPr>
                <w:rFonts w:hint="eastAsia"/>
              </w:rPr>
              <w:t>8、膨胀阀：为保证系统运行的高效性和稳定性，空调需要求标配双电子膨胀阀（两个电子膨胀阀）；</w:t>
            </w:r>
            <w:r>
              <w:rPr>
                <w:rFonts w:hint="eastAsia"/>
              </w:rPr>
              <w:br w:type="textWrapping"/>
            </w:r>
            <w:r>
              <w:rPr>
                <w:rFonts w:hint="eastAsia"/>
              </w:rPr>
              <w:t xml:space="preserve">10、精密空调应具有低载除湿能力，室内低负载的情况下能够稳定除湿功能；                                                                              </w:t>
            </w:r>
            <w:r>
              <w:rPr>
                <w:rFonts w:hint="eastAsia"/>
              </w:rPr>
              <w:br w:type="textWrapping"/>
            </w:r>
            <w:r>
              <w:rPr>
                <w:rFonts w:hint="eastAsia"/>
              </w:rPr>
              <w:t xml:space="preserve">11、精密空调应采用 7英寸全中文彩色触摸屏，用于图形显示机组内各组件的运行状态的功能，屏幕事件记录数量不少于 1000 条 ；         </w:t>
            </w:r>
            <w:r>
              <w:rPr>
                <w:rFonts w:hint="eastAsia"/>
              </w:rPr>
              <w:br w:type="textWrapping"/>
            </w:r>
            <w:r>
              <w:rPr>
                <w:rFonts w:hint="eastAsia"/>
              </w:rPr>
              <w:t>12、为保证精密空调可靠性及安全性，机组应支持制冷剂泄露或灌注量不足告警；</w:t>
            </w:r>
            <w:r>
              <w:rPr>
                <w:rFonts w:hint="eastAsia"/>
              </w:rPr>
              <w:br w:type="textWrapping"/>
            </w:r>
            <w:r>
              <w:rPr>
                <w:rFonts w:hint="eastAsia"/>
              </w:rPr>
              <w:t xml:space="preserve">13、精密空调应标配RS485接口，控制系统支持micro USB和USB端口的运维功能，同时具有与消防联动的干接点。当空调收到消防联动信号时，空调可立即自动停机。                   </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8</w:t>
            </w:r>
          </w:p>
        </w:tc>
        <w:tc>
          <w:tcPr>
            <w:tcW w:w="1694" w:type="dxa"/>
            <w:shd w:val="clear" w:color="auto" w:fill="auto"/>
            <w:noWrap/>
            <w:vAlign w:val="center"/>
          </w:tcPr>
          <w:p>
            <w:pPr>
              <w:spacing w:line="240" w:lineRule="auto"/>
            </w:pPr>
            <w:r>
              <w:rPr>
                <w:rFonts w:hint="eastAsia"/>
              </w:rPr>
              <w:t>列间空调室外机</w:t>
            </w:r>
          </w:p>
        </w:tc>
        <w:tc>
          <w:tcPr>
            <w:tcW w:w="5673" w:type="dxa"/>
            <w:shd w:val="clear" w:color="auto" w:fill="auto"/>
            <w:noWrap/>
            <w:vAlign w:val="center"/>
          </w:tcPr>
          <w:p>
            <w:pPr>
              <w:spacing w:line="240" w:lineRule="auto"/>
            </w:pPr>
            <w:r>
              <w:rPr>
                <w:rFonts w:hint="eastAsia"/>
              </w:rPr>
              <w:t>室外机尺寸(宽x深x高,mm)：728×405×1372　1、空调风冷型室外机组应采用变频控制及采用低噪声的室外风机设计，需合理配备导风组件。能根据冷凝器管道内部压力变化自动调节冷凝风扇的运转速度，并实现节能。</w:t>
            </w:r>
            <w:r>
              <w:rPr>
                <w:rFonts w:hint="eastAsia"/>
              </w:rPr>
              <w:br w:type="textWrapping"/>
            </w:r>
            <w:r>
              <w:rPr>
                <w:rFonts w:hint="eastAsia"/>
              </w:rPr>
              <w:t>2、空调风冷型室外机组应安装有冷凝压力传感器和风机转速控制板，可实现室外机冷凝压力自动控制；</w:t>
            </w:r>
            <w:r>
              <w:rPr>
                <w:rFonts w:hint="eastAsia"/>
              </w:rPr>
              <w:br w:type="textWrapping"/>
            </w:r>
            <w:r>
              <w:rPr>
                <w:rFonts w:hint="eastAsia"/>
              </w:rPr>
              <w:t>3、空调风冷型室外机组应具有良好的刚性和防腐性能，边板采用铝材板，其他组件采用热镀锌板和喷涂防锈漆，室外机符合IPX5要求；</w:t>
            </w:r>
            <w:r>
              <w:rPr>
                <w:rFonts w:hint="eastAsia"/>
              </w:rPr>
              <w:br w:type="textWrapping"/>
            </w:r>
            <w:r>
              <w:rPr>
                <w:rFonts w:hint="eastAsia"/>
              </w:rPr>
              <w:t>4、空调风冷型室外机组应采用结构优化设计，要求采用高筒风机，可实现降低噪音的功能；</w:t>
            </w:r>
            <w:r>
              <w:rPr>
                <w:rFonts w:hint="eastAsia"/>
              </w:rPr>
              <w:br w:type="textWrapping"/>
            </w:r>
            <w:r>
              <w:rPr>
                <w:rFonts w:hint="eastAsia"/>
              </w:rPr>
              <w:t>5、冷凝器采用L型换热器，类型为铜管铝翅片，可增大换热面积，减小外机尺寸。</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9</w:t>
            </w:r>
          </w:p>
        </w:tc>
        <w:tc>
          <w:tcPr>
            <w:tcW w:w="1694" w:type="dxa"/>
            <w:shd w:val="clear" w:color="auto" w:fill="auto"/>
            <w:noWrap/>
            <w:vAlign w:val="center"/>
          </w:tcPr>
          <w:p>
            <w:pPr>
              <w:spacing w:line="240" w:lineRule="auto"/>
            </w:pPr>
            <w:r>
              <w:rPr>
                <w:rFonts w:hint="eastAsia"/>
              </w:rPr>
              <w:t>延长组件</w:t>
            </w:r>
          </w:p>
        </w:tc>
        <w:tc>
          <w:tcPr>
            <w:tcW w:w="5673" w:type="dxa"/>
            <w:shd w:val="clear" w:color="auto" w:fill="auto"/>
            <w:noWrap/>
            <w:vAlign w:val="center"/>
          </w:tcPr>
          <w:p>
            <w:pPr>
              <w:spacing w:line="240" w:lineRule="auto"/>
            </w:pPr>
            <w:r>
              <w:rPr>
                <w:rFonts w:hint="eastAsia"/>
              </w:rPr>
              <w:t>空调配件|延长组件|配套35kW空调</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10</w:t>
            </w:r>
          </w:p>
        </w:tc>
        <w:tc>
          <w:tcPr>
            <w:tcW w:w="1694" w:type="dxa"/>
            <w:shd w:val="clear" w:color="auto" w:fill="auto"/>
            <w:noWrap/>
            <w:vAlign w:val="center"/>
          </w:tcPr>
          <w:p>
            <w:pPr>
              <w:spacing w:line="240" w:lineRule="auto"/>
            </w:pPr>
            <w:r>
              <w:rPr>
                <w:rFonts w:hint="eastAsia"/>
              </w:rPr>
              <w:t>房级定频空调室内机</w:t>
            </w:r>
          </w:p>
        </w:tc>
        <w:tc>
          <w:tcPr>
            <w:tcW w:w="5673" w:type="dxa"/>
            <w:shd w:val="clear" w:color="auto" w:fill="auto"/>
            <w:noWrap/>
            <w:vAlign w:val="center"/>
          </w:tcPr>
          <w:p>
            <w:pPr>
              <w:spacing w:line="240" w:lineRule="auto"/>
            </w:pPr>
            <w:r>
              <w:rPr>
                <w:rFonts w:hint="eastAsia"/>
              </w:rPr>
              <w:t xml:space="preserve">1、风冷型房间级精密空调，上送风，制冷量≥12.5kW，风量≥3600m3/h，能效比≥3.0（工况：室内侧 干球温度约24℃，湿球温度约17℃；放热侧 干球温度约35℃测得），需提供投标同系列同制冷量产品在该工况下的第三方权威机构的检验报告并加盖设备厂商公章； </w:t>
            </w:r>
          </w:p>
          <w:p>
            <w:pPr>
              <w:spacing w:line="240" w:lineRule="auto"/>
            </w:pPr>
            <w:r>
              <w:rPr>
                <w:rFonts w:hint="eastAsia"/>
              </w:rPr>
              <w:t>2、精密空调应具有良好性能指标，可满足高效节能的要求，精密空调主要指标不应低于以下要求。</w:t>
            </w:r>
          </w:p>
          <w:p>
            <w:pPr>
              <w:spacing w:line="240" w:lineRule="auto"/>
            </w:pPr>
            <w:r>
              <w:rPr>
                <w:rFonts w:hint="eastAsia"/>
              </w:rPr>
              <w:t xml:space="preserve">1）输入电压允许波动范围：380V±10%；         </w:t>
            </w:r>
          </w:p>
          <w:p>
            <w:pPr>
              <w:spacing w:line="240" w:lineRule="auto"/>
            </w:pPr>
            <w:r>
              <w:rPr>
                <w:rFonts w:hint="eastAsia"/>
              </w:rPr>
              <w:t xml:space="preserve">2）空调适应性：室内0℃～40℃，室外-15℃～45℃；                 </w:t>
            </w:r>
          </w:p>
          <w:p>
            <w:pPr>
              <w:spacing w:line="240" w:lineRule="auto"/>
            </w:pPr>
            <w:r>
              <w:rPr>
                <w:rFonts w:hint="eastAsia"/>
              </w:rPr>
              <w:t xml:space="preserve">3、室内风机：空调机组须标准配置EC风机，提供产品彩页样本证明，并加盖设备厂商公章； </w:t>
            </w:r>
          </w:p>
          <w:p>
            <w:pPr>
              <w:spacing w:line="240" w:lineRule="auto"/>
            </w:pPr>
            <w:r>
              <w:rPr>
                <w:rFonts w:hint="eastAsia"/>
              </w:rPr>
              <w:t>4、采用高效可靠压缩机，保障系统运行的可靠性；</w:t>
            </w:r>
          </w:p>
          <w:p>
            <w:pPr>
              <w:spacing w:line="240" w:lineRule="auto"/>
            </w:pPr>
            <w:r>
              <w:rPr>
                <w:rFonts w:hint="eastAsia"/>
              </w:rPr>
              <w:t>5、精密空调应能够在设备的正面进行全面维修，空调本体外部应预留各种管道接口（冷媒管、加湿管、凝水管），包括下、后、侧面三方向预留各种管道接口，以便现场安装；</w:t>
            </w:r>
          </w:p>
          <w:p>
            <w:pPr>
              <w:spacing w:line="240" w:lineRule="auto"/>
            </w:pPr>
            <w:r>
              <w:rPr>
                <w:rFonts w:hint="eastAsia"/>
              </w:rPr>
              <w:t>6、为了降低回风风阻，机组应设计三面回风，即正面和左右两侧回风；</w:t>
            </w:r>
          </w:p>
          <w:p>
            <w:pPr>
              <w:spacing w:line="240" w:lineRule="auto"/>
            </w:pPr>
            <w:r>
              <w:rPr>
                <w:rFonts w:hint="eastAsia"/>
              </w:rPr>
              <w:t>7、为保证系统运行的高效性和稳定性，空调须配置电子膨胀阀，需提供所投产品的膨胀阀型号及品牌并加盖设备厂商公章，本项应支持现场查验；</w:t>
            </w:r>
          </w:p>
          <w:p>
            <w:pPr>
              <w:spacing w:line="240" w:lineRule="auto"/>
            </w:pPr>
            <w:r>
              <w:rPr>
                <w:rFonts w:hint="eastAsia"/>
              </w:rPr>
              <w:t xml:space="preserve">8、所有空调机组需采用R410A制冷剂； </w:t>
            </w:r>
          </w:p>
          <w:p>
            <w:pPr>
              <w:spacing w:line="240" w:lineRule="auto"/>
            </w:pPr>
            <w:r>
              <w:rPr>
                <w:rFonts w:hint="eastAsia"/>
              </w:rPr>
              <w:t>9、精密空调具备相序保护功能，来电自启动和延时启动功能。</w:t>
            </w:r>
          </w:p>
          <w:p>
            <w:pPr>
              <w:spacing w:line="240" w:lineRule="auto"/>
            </w:pPr>
            <w:r>
              <w:rPr>
                <w:rFonts w:hint="eastAsia"/>
              </w:rPr>
              <w:t xml:space="preserve">                   </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11</w:t>
            </w:r>
          </w:p>
        </w:tc>
        <w:tc>
          <w:tcPr>
            <w:tcW w:w="1694" w:type="dxa"/>
            <w:shd w:val="clear" w:color="auto" w:fill="auto"/>
            <w:noWrap/>
            <w:vAlign w:val="center"/>
          </w:tcPr>
          <w:p>
            <w:pPr>
              <w:spacing w:line="240" w:lineRule="auto"/>
            </w:pPr>
            <w:r>
              <w:rPr>
                <w:rFonts w:hint="eastAsia"/>
              </w:rPr>
              <w:t>小房级定频空调室外机</w:t>
            </w:r>
          </w:p>
        </w:tc>
        <w:tc>
          <w:tcPr>
            <w:tcW w:w="5673" w:type="dxa"/>
            <w:shd w:val="clear" w:color="auto" w:fill="auto"/>
            <w:noWrap/>
            <w:vAlign w:val="center"/>
          </w:tcPr>
          <w:p>
            <w:pPr>
              <w:spacing w:line="240" w:lineRule="auto"/>
            </w:pPr>
            <w:r>
              <w:rPr>
                <w:rFonts w:hint="eastAsia"/>
              </w:rPr>
              <w:t>室外机尺寸(宽x深x高,mm)：728×405×1372</w:t>
            </w:r>
          </w:p>
          <w:p>
            <w:pPr>
              <w:spacing w:line="240" w:lineRule="auto"/>
            </w:pPr>
            <w:r>
              <w:rPr>
                <w:rFonts w:hint="eastAsia"/>
              </w:rPr>
              <w:t>1、机房专用空调室外机应具有良好的刚性和防腐性能，适应多种环境条件。</w:t>
            </w:r>
          </w:p>
          <w:p>
            <w:pPr>
              <w:spacing w:line="240" w:lineRule="auto"/>
            </w:pPr>
            <w:r>
              <w:rPr>
                <w:rFonts w:hint="eastAsia"/>
              </w:rPr>
              <w:t>2、机房专用空调的风冷型室外机组变频控制，采用低噪声室外风机。能根据冷凝器管道内部压力变化自动调节冷凝风扇的运转速度，并实现节能。</w:t>
            </w:r>
          </w:p>
          <w:p>
            <w:pPr>
              <w:spacing w:line="240" w:lineRule="auto"/>
            </w:pPr>
            <w:r>
              <w:rPr>
                <w:rFonts w:hint="eastAsia"/>
              </w:rPr>
              <w:t>3、机房专用空调机组的风冷冷凝器的风机电机、风机调速器、压力控制器等应有良好的防水性能。</w:t>
            </w:r>
          </w:p>
          <w:p>
            <w:pPr>
              <w:spacing w:line="240" w:lineRule="auto"/>
            </w:pP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12</w:t>
            </w:r>
          </w:p>
        </w:tc>
        <w:tc>
          <w:tcPr>
            <w:tcW w:w="1694" w:type="dxa"/>
            <w:shd w:val="clear" w:color="auto" w:fill="auto"/>
            <w:noWrap/>
            <w:vAlign w:val="center"/>
          </w:tcPr>
          <w:p>
            <w:pPr>
              <w:spacing w:line="240" w:lineRule="auto"/>
            </w:pPr>
            <w:r>
              <w:rPr>
                <w:rFonts w:hint="eastAsia"/>
              </w:rPr>
              <w:t>600宽机柜</w:t>
            </w:r>
          </w:p>
        </w:tc>
        <w:tc>
          <w:tcPr>
            <w:tcW w:w="5673" w:type="dxa"/>
            <w:shd w:val="clear" w:color="auto" w:fill="auto"/>
            <w:noWrap/>
            <w:vAlign w:val="center"/>
          </w:tcPr>
          <w:p>
            <w:pPr>
              <w:spacing w:line="240" w:lineRule="auto"/>
            </w:pPr>
            <w:r>
              <w:rPr>
                <w:rFonts w:hint="eastAsia"/>
              </w:rPr>
              <w:t>尺寸(宽*深*高)600*1200*2000mm,平板网孔门，前门单开，后门双开，不含边板、活动轮、支撑脚，标准配置有：</w:t>
            </w:r>
          </w:p>
          <w:p>
            <w:pPr>
              <w:spacing w:line="240" w:lineRule="auto"/>
            </w:pPr>
            <w:r>
              <w:rPr>
                <w:rFonts w:hint="eastAsia"/>
              </w:rPr>
              <w:t>1、配套螺钉螺母50套；</w:t>
            </w:r>
          </w:p>
          <w:p>
            <w:pPr>
              <w:spacing w:line="240" w:lineRule="auto"/>
            </w:pPr>
            <w:r>
              <w:rPr>
                <w:rFonts w:hint="eastAsia"/>
              </w:rPr>
              <w:t>2、标配2个垂直理线板；</w:t>
            </w:r>
          </w:p>
          <w:p>
            <w:pPr>
              <w:spacing w:line="240" w:lineRule="auto"/>
            </w:pPr>
            <w:r>
              <w:rPr>
                <w:rFonts w:hint="eastAsia"/>
              </w:rPr>
              <w:t>3、标配2套PDU安装板；</w:t>
            </w:r>
          </w:p>
          <w:p>
            <w:pPr>
              <w:spacing w:line="240" w:lineRule="auto"/>
            </w:pPr>
            <w:r>
              <w:rPr>
                <w:rFonts w:hint="eastAsia"/>
              </w:rPr>
              <w:t>4、标配挡风板；</w:t>
            </w:r>
          </w:p>
          <w:p>
            <w:pPr>
              <w:spacing w:line="240" w:lineRule="auto"/>
            </w:pPr>
            <w:r>
              <w:rPr>
                <w:rFonts w:hint="eastAsia"/>
              </w:rPr>
              <w:t>5、配置20个1U封板、2个轻载层板、2付L型导轨、1个1U水平理线架；</w:t>
            </w:r>
          </w:p>
          <w:p>
            <w:pPr>
              <w:spacing w:line="240" w:lineRule="auto"/>
            </w:pPr>
            <w:r>
              <w:rPr>
                <w:rFonts w:hint="eastAsia"/>
              </w:rPr>
              <w:t>6、机柜需具备有良好的承重能力，静态承重≥2800KG，动态承重≥1600KG</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13</w:t>
            </w:r>
          </w:p>
        </w:tc>
        <w:tc>
          <w:tcPr>
            <w:tcW w:w="1694" w:type="dxa"/>
            <w:shd w:val="clear" w:color="auto" w:fill="auto"/>
            <w:noWrap/>
            <w:vAlign w:val="center"/>
          </w:tcPr>
          <w:p>
            <w:pPr>
              <w:spacing w:line="240" w:lineRule="auto"/>
            </w:pPr>
            <w:r>
              <w:rPr>
                <w:rFonts w:hint="eastAsia"/>
              </w:rPr>
              <w:t>20口32A竖装PDU</w:t>
            </w:r>
          </w:p>
        </w:tc>
        <w:tc>
          <w:tcPr>
            <w:tcW w:w="5673" w:type="dxa"/>
            <w:shd w:val="clear" w:color="auto" w:fill="auto"/>
            <w:noWrap/>
            <w:vAlign w:val="center"/>
          </w:tcPr>
          <w:p>
            <w:pPr>
              <w:spacing w:line="240" w:lineRule="auto"/>
            </w:pPr>
            <w:r>
              <w:rPr>
                <w:rFonts w:hint="eastAsia"/>
              </w:rPr>
              <w:t>输入32A，输出16位国标10A+4位国标16A、接线盒、指示灯、右侧安装、蓝色、上进线</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14</w:t>
            </w:r>
          </w:p>
        </w:tc>
        <w:tc>
          <w:tcPr>
            <w:tcW w:w="1694" w:type="dxa"/>
            <w:shd w:val="clear" w:color="auto" w:fill="auto"/>
            <w:noWrap/>
            <w:vAlign w:val="center"/>
          </w:tcPr>
          <w:p>
            <w:pPr>
              <w:spacing w:line="240" w:lineRule="auto"/>
            </w:pPr>
            <w:r>
              <w:rPr>
                <w:rFonts w:hint="eastAsia"/>
              </w:rPr>
              <w:t>20口32A竖装PDU</w:t>
            </w:r>
          </w:p>
        </w:tc>
        <w:tc>
          <w:tcPr>
            <w:tcW w:w="5673" w:type="dxa"/>
            <w:shd w:val="clear" w:color="auto" w:fill="auto"/>
            <w:noWrap/>
            <w:vAlign w:val="center"/>
          </w:tcPr>
          <w:p>
            <w:pPr>
              <w:spacing w:line="240" w:lineRule="auto"/>
            </w:pPr>
            <w:r>
              <w:rPr>
                <w:rFonts w:hint="eastAsia"/>
              </w:rPr>
              <w:t>输入32A，输出16位国标10A+4位国标16A、接线盒、指示灯、左侧安装、黑色、上进线</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15</w:t>
            </w:r>
          </w:p>
        </w:tc>
        <w:tc>
          <w:tcPr>
            <w:tcW w:w="1694" w:type="dxa"/>
            <w:shd w:val="clear" w:color="auto" w:fill="auto"/>
            <w:noWrap/>
            <w:vAlign w:val="center"/>
          </w:tcPr>
          <w:p>
            <w:pPr>
              <w:spacing w:line="240" w:lineRule="auto"/>
            </w:pPr>
            <w:r>
              <w:rPr>
                <w:rFonts w:hint="eastAsia"/>
              </w:rPr>
              <w:t>全封闭自动平移门</w:t>
            </w:r>
          </w:p>
        </w:tc>
        <w:tc>
          <w:tcPr>
            <w:tcW w:w="5673" w:type="dxa"/>
            <w:shd w:val="clear" w:color="auto" w:fill="auto"/>
            <w:noWrap/>
            <w:vAlign w:val="center"/>
          </w:tcPr>
          <w:p>
            <w:pPr>
              <w:spacing w:line="240" w:lineRule="auto"/>
            </w:pPr>
            <w:r>
              <w:rPr>
                <w:rFonts w:hint="eastAsia"/>
              </w:rPr>
              <w:t>1套封闭通道端门，含前后2个自动平移门。每个端门标配LOGO门楣及左右波纹光影封板，隐藏式玻璃门；</w:t>
            </w:r>
            <w:r>
              <w:rPr>
                <w:rFonts w:hint="eastAsia"/>
              </w:rPr>
              <w:br w:type="textWrapping"/>
            </w:r>
            <w:r>
              <w:rPr>
                <w:rFonts w:hint="eastAsia"/>
              </w:rPr>
              <w:t>标准配置有：</w:t>
            </w:r>
            <w:r>
              <w:rPr>
                <w:rFonts w:hint="eastAsia"/>
              </w:rPr>
              <w:br w:type="textWrapping"/>
            </w:r>
            <w:r>
              <w:rPr>
                <w:rFonts w:hint="eastAsia"/>
              </w:rPr>
              <w:t>1、自动门采用12mm厚钢化玻璃，端门通道玻璃面积占比98%以上；</w:t>
            </w:r>
            <w:r>
              <w:rPr>
                <w:rFonts w:hint="eastAsia"/>
              </w:rPr>
              <w:br w:type="textWrapping"/>
            </w:r>
            <w:r>
              <w:rPr>
                <w:rFonts w:hint="eastAsia"/>
              </w:rPr>
              <w:t>2、自动门具备红外防夹功能；</w:t>
            </w:r>
            <w:r>
              <w:rPr>
                <w:rFonts w:hint="eastAsia"/>
              </w:rPr>
              <w:br w:type="textWrapping"/>
            </w:r>
            <w:r>
              <w:rPr>
                <w:rFonts w:hint="eastAsia"/>
              </w:rPr>
              <w:t>3、端门具备出门按钮及紧急开门按钮；</w:t>
            </w:r>
            <w:r>
              <w:rPr>
                <w:rFonts w:hint="eastAsia"/>
              </w:rPr>
              <w:br w:type="textWrapping"/>
            </w:r>
            <w:r>
              <w:rPr>
                <w:rFonts w:hint="eastAsia"/>
              </w:rPr>
              <w:t xml:space="preserve">4、端门具备开关门检测；                     </w:t>
            </w:r>
            <w:r>
              <w:rPr>
                <w:rFonts w:hint="eastAsia"/>
              </w:rPr>
              <w:br w:type="textWrapping"/>
            </w:r>
            <w:r>
              <w:rPr>
                <w:rFonts w:hint="eastAsia"/>
              </w:rPr>
              <w:t>5、内置智能灯光系统：</w:t>
            </w:r>
            <w:r>
              <w:rPr>
                <w:rFonts w:hint="eastAsia"/>
              </w:rPr>
              <w:br w:type="textWrapping"/>
            </w:r>
            <w:r>
              <w:rPr>
                <w:rFonts w:hint="eastAsia"/>
              </w:rPr>
              <w:t>1)、含LOGO门楣、门框氛围灯，支持人体感应控制；</w:t>
            </w:r>
            <w:r>
              <w:rPr>
                <w:rFonts w:hint="eastAsia"/>
              </w:rPr>
              <w:br w:type="textWrapping"/>
            </w:r>
            <w:r>
              <w:rPr>
                <w:rFonts w:hint="eastAsia"/>
              </w:rPr>
              <w:t>2)、配置通道照明模式切换按钮，支持常规模式、参观模式、运维模式；</w:t>
            </w:r>
            <w:r>
              <w:rPr>
                <w:rFonts w:hint="eastAsia"/>
              </w:rPr>
              <w:br w:type="textWrapping"/>
            </w:r>
            <w:r>
              <w:rPr>
                <w:rFonts w:hint="eastAsia"/>
              </w:rPr>
              <w:t>6、以下功能需配置监控系统：</w:t>
            </w:r>
            <w:r>
              <w:rPr>
                <w:rFonts w:hint="eastAsia"/>
              </w:rPr>
              <w:br w:type="textWrapping"/>
            </w:r>
            <w:r>
              <w:rPr>
                <w:rFonts w:hint="eastAsia"/>
              </w:rPr>
              <w:t>1)、门框氛围灯可支持全彩展示，支持告警联动变色；</w:t>
            </w:r>
            <w:r>
              <w:rPr>
                <w:rFonts w:hint="eastAsia"/>
              </w:rPr>
              <w:br w:type="textWrapping"/>
            </w:r>
            <w:r>
              <w:rPr>
                <w:rFonts w:hint="eastAsia"/>
              </w:rPr>
              <w:t>2)、支持远程开关门控制；</w:t>
            </w:r>
            <w:r>
              <w:rPr>
                <w:rFonts w:hint="eastAsia"/>
              </w:rPr>
              <w:br w:type="textWrapping"/>
            </w:r>
            <w:r>
              <w:rPr>
                <w:rFonts w:hint="eastAsia"/>
              </w:rPr>
              <w:t>3)、支持消防联动平移门常开；</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16</w:t>
            </w:r>
          </w:p>
        </w:tc>
        <w:tc>
          <w:tcPr>
            <w:tcW w:w="1694" w:type="dxa"/>
            <w:shd w:val="clear" w:color="auto" w:fill="auto"/>
            <w:noWrap/>
            <w:vAlign w:val="center"/>
          </w:tcPr>
          <w:p>
            <w:pPr>
              <w:spacing w:line="240" w:lineRule="auto"/>
            </w:pPr>
            <w:r>
              <w:rPr>
                <w:rFonts w:hint="eastAsia"/>
              </w:rPr>
              <w:t>封闭冷通道系统</w:t>
            </w:r>
          </w:p>
        </w:tc>
        <w:tc>
          <w:tcPr>
            <w:tcW w:w="5673" w:type="dxa"/>
            <w:shd w:val="clear" w:color="auto" w:fill="auto"/>
            <w:noWrap/>
            <w:vAlign w:val="center"/>
          </w:tcPr>
          <w:p>
            <w:pPr>
              <w:spacing w:line="240" w:lineRule="auto"/>
            </w:pPr>
            <w:r>
              <w:rPr>
                <w:rFonts w:hint="eastAsia"/>
              </w:rPr>
              <w:t>1、冷通道组件包含2块固定天窗，8块活动天窗，活动采用手动复位方式，天窗需通过《电子电气产品中限用物质的限量要求》环保认证；</w:t>
            </w:r>
          </w:p>
          <w:p>
            <w:pPr>
              <w:spacing w:line="240" w:lineRule="auto"/>
            </w:pPr>
            <w:r>
              <w:rPr>
                <w:rFonts w:hint="eastAsia"/>
              </w:rPr>
              <w:t>2、通道应采用全景天窗，采用铝合金边框，玻璃占比应不小于90%，需提供权威第三方报告证明；</w:t>
            </w:r>
          </w:p>
          <w:p>
            <w:pPr>
              <w:spacing w:line="240" w:lineRule="auto"/>
            </w:pPr>
            <w:r>
              <w:rPr>
                <w:rFonts w:hint="eastAsia"/>
              </w:rPr>
              <w:t>3、含6米300宽梯形桥架、天窗支撑板、通道围板；</w:t>
            </w:r>
          </w:p>
          <w:p>
            <w:pPr>
              <w:spacing w:line="240" w:lineRule="auto"/>
            </w:pPr>
            <w:r>
              <w:rPr>
                <w:rFonts w:hint="eastAsia"/>
              </w:rPr>
              <w:t>4、冷通道应具备全彩氛围灯，支持通过动环自定义设置色彩，并能通过告警联动触发变色；</w:t>
            </w:r>
          </w:p>
          <w:p>
            <w:pPr>
              <w:spacing w:line="240" w:lineRule="auto"/>
            </w:pPr>
            <w:r>
              <w:rPr>
                <w:rFonts w:hint="eastAsia"/>
              </w:rPr>
              <w:t>5、微模块灯光系统：配置LED白色照明灯，支持通过按键开关功能及人体感应功能；</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17</w:t>
            </w:r>
          </w:p>
        </w:tc>
        <w:tc>
          <w:tcPr>
            <w:tcW w:w="1694" w:type="dxa"/>
            <w:shd w:val="clear" w:color="auto" w:fill="auto"/>
            <w:noWrap/>
            <w:vAlign w:val="center"/>
          </w:tcPr>
          <w:p>
            <w:pPr>
              <w:spacing w:line="240" w:lineRule="auto"/>
            </w:pPr>
            <w:r>
              <w:rPr>
                <w:rFonts w:hint="eastAsia"/>
              </w:rPr>
              <w:t>温湿度模块</w:t>
            </w:r>
          </w:p>
        </w:tc>
        <w:tc>
          <w:tcPr>
            <w:tcW w:w="5673" w:type="dxa"/>
            <w:shd w:val="clear" w:color="auto" w:fill="auto"/>
            <w:noWrap/>
            <w:vAlign w:val="center"/>
          </w:tcPr>
          <w:p>
            <w:pPr>
              <w:spacing w:line="240" w:lineRule="auto"/>
            </w:pPr>
            <w:r>
              <w:rPr>
                <w:rFonts w:hint="eastAsia"/>
              </w:rPr>
              <w:t>机房环境的高精度数字式温湿度传感器，-45℃~+125℃的精度在±0.5℃，±5%RH ,Modbus RTU通讯,抗干扰性强，稳定可靠，OLED显示,双RJ45接口，首尾串接。</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18</w:t>
            </w:r>
          </w:p>
        </w:tc>
        <w:tc>
          <w:tcPr>
            <w:tcW w:w="1694" w:type="dxa"/>
            <w:shd w:val="clear" w:color="auto" w:fill="auto"/>
            <w:noWrap/>
            <w:vAlign w:val="center"/>
          </w:tcPr>
          <w:p>
            <w:pPr>
              <w:spacing w:line="240" w:lineRule="auto"/>
            </w:pPr>
            <w:r>
              <w:rPr>
                <w:rFonts w:hint="eastAsia"/>
              </w:rPr>
              <w:t>不定位漏水控制器</w:t>
            </w:r>
          </w:p>
        </w:tc>
        <w:tc>
          <w:tcPr>
            <w:tcW w:w="5673" w:type="dxa"/>
            <w:shd w:val="clear" w:color="auto" w:fill="auto"/>
            <w:noWrap/>
            <w:vAlign w:val="center"/>
          </w:tcPr>
          <w:p>
            <w:pPr>
              <w:spacing w:line="240" w:lineRule="auto"/>
            </w:pPr>
            <w:r>
              <w:rPr>
                <w:rFonts w:hint="eastAsia"/>
              </w:rPr>
              <w:t>用于漏水检测。通过漏水感应线检测到漏水后，输出一个报警干接点，灵敏度可调。DC12V供电，支持蜂鸣器告警，一个不定位漏水控制器占用一个开关量检测端口</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0" w:type="dxa"/>
            <w:shd w:val="clear" w:color="auto" w:fill="auto"/>
            <w:noWrap/>
            <w:vAlign w:val="center"/>
          </w:tcPr>
          <w:p>
            <w:pPr>
              <w:spacing w:line="240" w:lineRule="auto"/>
            </w:pPr>
            <w:r>
              <w:rPr>
                <w:rFonts w:hint="eastAsia"/>
              </w:rPr>
              <w:t>19</w:t>
            </w:r>
          </w:p>
        </w:tc>
        <w:tc>
          <w:tcPr>
            <w:tcW w:w="1694" w:type="dxa"/>
            <w:shd w:val="clear" w:color="auto" w:fill="auto"/>
            <w:noWrap/>
            <w:vAlign w:val="center"/>
          </w:tcPr>
          <w:p>
            <w:pPr>
              <w:spacing w:line="240" w:lineRule="auto"/>
            </w:pPr>
            <w:r>
              <w:rPr>
                <w:rFonts w:hint="eastAsia"/>
              </w:rPr>
              <w:t>不定位漏水感应线</w:t>
            </w:r>
          </w:p>
        </w:tc>
        <w:tc>
          <w:tcPr>
            <w:tcW w:w="5673" w:type="dxa"/>
            <w:shd w:val="clear" w:color="auto" w:fill="auto"/>
            <w:noWrap/>
            <w:vAlign w:val="center"/>
          </w:tcPr>
          <w:p>
            <w:pPr>
              <w:spacing w:line="240" w:lineRule="auto"/>
            </w:pPr>
            <w:r>
              <w:rPr>
                <w:rFonts w:hint="eastAsia"/>
              </w:rPr>
              <w:t>与不定位漏水控制器搭配使用，线长5米，据微模块大小周长选配</w:t>
            </w:r>
          </w:p>
        </w:tc>
        <w:tc>
          <w:tcPr>
            <w:tcW w:w="850" w:type="dxa"/>
            <w:shd w:val="clear" w:color="auto" w:fill="auto"/>
            <w:noWrap/>
            <w:vAlign w:val="center"/>
          </w:tcPr>
          <w:p>
            <w:pPr>
              <w:spacing w:line="240" w:lineRule="auto"/>
            </w:pPr>
            <w:r>
              <w:rPr>
                <w:rFonts w:hint="eastAsia"/>
              </w:rPr>
              <w:t>条</w:t>
            </w:r>
          </w:p>
        </w:tc>
        <w:tc>
          <w:tcPr>
            <w:tcW w:w="851" w:type="dxa"/>
            <w:shd w:val="clear" w:color="auto" w:fill="auto"/>
            <w:noWrap/>
            <w:vAlign w:val="center"/>
          </w:tcPr>
          <w:p>
            <w:pPr>
              <w:spacing w:line="240" w:lineRule="auto"/>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20</w:t>
            </w:r>
          </w:p>
        </w:tc>
        <w:tc>
          <w:tcPr>
            <w:tcW w:w="1694" w:type="dxa"/>
            <w:shd w:val="clear" w:color="auto" w:fill="auto"/>
            <w:noWrap/>
            <w:vAlign w:val="center"/>
          </w:tcPr>
          <w:p>
            <w:pPr>
              <w:spacing w:line="240" w:lineRule="auto"/>
            </w:pPr>
            <w:r>
              <w:rPr>
                <w:rFonts w:hint="eastAsia"/>
              </w:rPr>
              <w:t>烟雾传感器</w:t>
            </w:r>
          </w:p>
        </w:tc>
        <w:tc>
          <w:tcPr>
            <w:tcW w:w="5673" w:type="dxa"/>
            <w:shd w:val="clear" w:color="auto" w:fill="auto"/>
            <w:noWrap/>
            <w:vAlign w:val="center"/>
          </w:tcPr>
          <w:p>
            <w:pPr>
              <w:spacing w:line="240" w:lineRule="auto"/>
            </w:pPr>
            <w:r>
              <w:rPr>
                <w:rFonts w:hint="eastAsia"/>
              </w:rPr>
              <w:t>用于室内环境烟雾检测。红外光电传感器、断电复位、防尘防虫抗白光、金属屏蔽罩，抗射频干扰。一个烟感探测器占用一个开关量检测端口</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21</w:t>
            </w:r>
          </w:p>
        </w:tc>
        <w:tc>
          <w:tcPr>
            <w:tcW w:w="1694" w:type="dxa"/>
            <w:shd w:val="clear" w:color="auto" w:fill="auto"/>
            <w:noWrap/>
            <w:vAlign w:val="center"/>
          </w:tcPr>
          <w:p>
            <w:pPr>
              <w:spacing w:line="240" w:lineRule="auto"/>
            </w:pPr>
            <w:r>
              <w:rPr>
                <w:rFonts w:hint="eastAsia"/>
              </w:rPr>
              <w:t>声光报警器</w:t>
            </w:r>
          </w:p>
        </w:tc>
        <w:tc>
          <w:tcPr>
            <w:tcW w:w="5673" w:type="dxa"/>
            <w:shd w:val="clear" w:color="auto" w:fill="auto"/>
            <w:noWrap/>
            <w:vAlign w:val="center"/>
          </w:tcPr>
          <w:p>
            <w:pPr>
              <w:spacing w:line="240" w:lineRule="auto"/>
            </w:pPr>
            <w:r>
              <w:rPr>
                <w:rFonts w:hint="eastAsia"/>
              </w:rPr>
              <w:t>微模块或机房声光报警器使用，全红色塑料壳。</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22</w:t>
            </w:r>
          </w:p>
        </w:tc>
        <w:tc>
          <w:tcPr>
            <w:tcW w:w="1694" w:type="dxa"/>
            <w:shd w:val="clear" w:color="auto" w:fill="auto"/>
            <w:noWrap/>
            <w:vAlign w:val="center"/>
          </w:tcPr>
          <w:p>
            <w:pPr>
              <w:spacing w:line="240" w:lineRule="auto"/>
            </w:pPr>
            <w:r>
              <w:rPr>
                <w:rFonts w:hint="eastAsia"/>
              </w:rPr>
              <w:t>人脸识别门禁一体机</w:t>
            </w:r>
          </w:p>
        </w:tc>
        <w:tc>
          <w:tcPr>
            <w:tcW w:w="5673" w:type="dxa"/>
            <w:shd w:val="clear" w:color="auto" w:fill="auto"/>
            <w:noWrap/>
            <w:vAlign w:val="center"/>
          </w:tcPr>
          <w:p>
            <w:pPr>
              <w:spacing w:line="240" w:lineRule="auto"/>
            </w:pPr>
            <w:r>
              <w:rPr>
                <w:rFonts w:hint="eastAsia"/>
              </w:rPr>
              <w:t>人脸识别门禁一体机，门禁识别方式有：人脸、指纹、IC读卡、密码，具有集中发卡功能，满足国密标准</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23</w:t>
            </w:r>
          </w:p>
        </w:tc>
        <w:tc>
          <w:tcPr>
            <w:tcW w:w="1694" w:type="dxa"/>
            <w:shd w:val="clear" w:color="auto" w:fill="auto"/>
            <w:noWrap/>
            <w:vAlign w:val="center"/>
          </w:tcPr>
          <w:p>
            <w:pPr>
              <w:spacing w:line="240" w:lineRule="auto"/>
            </w:pPr>
            <w:r>
              <w:rPr>
                <w:rFonts w:hint="eastAsia"/>
              </w:rPr>
              <w:t>摄像机</w:t>
            </w:r>
          </w:p>
        </w:tc>
        <w:tc>
          <w:tcPr>
            <w:tcW w:w="5673" w:type="dxa"/>
            <w:shd w:val="clear" w:color="auto" w:fill="auto"/>
            <w:noWrap/>
            <w:vAlign w:val="center"/>
          </w:tcPr>
          <w:p>
            <w:pPr>
              <w:spacing w:line="240" w:lineRule="auto"/>
            </w:pPr>
            <w:r>
              <w:rPr>
                <w:rFonts w:hint="eastAsia"/>
              </w:rPr>
              <w:t>200万星光级1/2.7"CMOS智能半球网络摄像机，POE供电，满足国密标准</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24</w:t>
            </w:r>
          </w:p>
        </w:tc>
        <w:tc>
          <w:tcPr>
            <w:tcW w:w="1694" w:type="dxa"/>
            <w:shd w:val="clear" w:color="auto" w:fill="auto"/>
            <w:noWrap/>
            <w:vAlign w:val="center"/>
          </w:tcPr>
          <w:p>
            <w:pPr>
              <w:spacing w:line="240" w:lineRule="auto"/>
            </w:pPr>
            <w:r>
              <w:rPr>
                <w:rFonts w:hint="eastAsia"/>
              </w:rPr>
              <w:t>32路NVR网络硬盘录像机</w:t>
            </w:r>
          </w:p>
        </w:tc>
        <w:tc>
          <w:tcPr>
            <w:tcW w:w="5673" w:type="dxa"/>
            <w:shd w:val="clear" w:color="auto" w:fill="auto"/>
            <w:noWrap/>
            <w:vAlign w:val="center"/>
          </w:tcPr>
          <w:p>
            <w:pPr>
              <w:spacing w:line="240" w:lineRule="auto"/>
            </w:pPr>
            <w:r>
              <w:rPr>
                <w:rFonts w:hint="eastAsia"/>
              </w:rPr>
              <w:t>9盘位硬盘录像机，支持32路IPC接入，满足国密标准含2个TB监控专用硬盘</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40" w:type="dxa"/>
            <w:shd w:val="clear" w:color="auto" w:fill="auto"/>
            <w:noWrap/>
            <w:vAlign w:val="center"/>
          </w:tcPr>
          <w:p>
            <w:pPr>
              <w:spacing w:line="240" w:lineRule="auto"/>
            </w:pPr>
            <w:r>
              <w:rPr>
                <w:rFonts w:hint="eastAsia"/>
              </w:rPr>
              <w:t>25</w:t>
            </w:r>
          </w:p>
        </w:tc>
        <w:tc>
          <w:tcPr>
            <w:tcW w:w="1694" w:type="dxa"/>
            <w:shd w:val="clear" w:color="auto" w:fill="auto"/>
            <w:noWrap/>
            <w:vAlign w:val="center"/>
          </w:tcPr>
          <w:p>
            <w:pPr>
              <w:spacing w:line="240" w:lineRule="auto"/>
            </w:pPr>
            <w:r>
              <w:rPr>
                <w:rFonts w:hint="eastAsia"/>
              </w:rPr>
              <w:t>一体化监控主机</w:t>
            </w:r>
          </w:p>
        </w:tc>
        <w:tc>
          <w:tcPr>
            <w:tcW w:w="5673" w:type="dxa"/>
            <w:shd w:val="clear" w:color="auto" w:fill="auto"/>
            <w:noWrap/>
            <w:vAlign w:val="center"/>
          </w:tcPr>
          <w:p>
            <w:pPr>
              <w:spacing w:line="240" w:lineRule="auto"/>
            </w:pPr>
            <w:r>
              <w:rPr>
                <w:rFonts w:hint="eastAsia"/>
              </w:rPr>
              <w:t>1、1U机架式，4个RS232/RS485串口，6个RS485串口，12路输入干接点，4路输出干接点，双网口设计，支持12V直流电源输出，支持选配32G SD卡，支持选配4G通讯模块，单电源供电。</w:t>
            </w:r>
            <w:r>
              <w:rPr>
                <w:rFonts w:hint="eastAsia"/>
              </w:rPr>
              <w:br w:type="textWrapping"/>
            </w:r>
            <w:r>
              <w:rPr>
                <w:rFonts w:hint="eastAsia"/>
              </w:rPr>
              <w:t xml:space="preserve">2、需搭载本地监控系统基础软件；                    3、支持存储大于10万条的告警量 </w:t>
            </w:r>
            <w:r>
              <w:rPr>
                <w:rFonts w:hint="eastAsia"/>
              </w:rPr>
              <w:br w:type="textWrapping"/>
            </w:r>
            <w:r>
              <w:rPr>
                <w:rFonts w:hint="eastAsia"/>
              </w:rPr>
              <w:t>4、须集成1路USB接口。可以将设置信息和配置信息导出到U盘，通过U盘设置监控主机参数</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26</w:t>
            </w:r>
          </w:p>
        </w:tc>
        <w:tc>
          <w:tcPr>
            <w:tcW w:w="1694" w:type="dxa"/>
            <w:shd w:val="clear" w:color="auto" w:fill="auto"/>
            <w:noWrap/>
            <w:vAlign w:val="center"/>
          </w:tcPr>
          <w:p>
            <w:pPr>
              <w:spacing w:line="240" w:lineRule="auto"/>
            </w:pPr>
            <w:r>
              <w:rPr>
                <w:rFonts w:hint="eastAsia"/>
              </w:rPr>
              <w:t>本地监控系统基础软件</w:t>
            </w:r>
          </w:p>
        </w:tc>
        <w:tc>
          <w:tcPr>
            <w:tcW w:w="5673" w:type="dxa"/>
            <w:shd w:val="clear" w:color="auto" w:fill="auto"/>
            <w:noWrap/>
            <w:vAlign w:val="center"/>
          </w:tcPr>
          <w:p>
            <w:pPr>
              <w:spacing w:line="240" w:lineRule="auto"/>
            </w:pPr>
            <w:r>
              <w:rPr>
                <w:rFonts w:hint="eastAsia"/>
              </w:rPr>
              <w:t>1.系统具备基于B/S架构的WEB访问功能，授权用户可以通过浏览器（IE/Chrome/Firefox）远程访问监控系统；</w:t>
            </w:r>
          </w:p>
          <w:p>
            <w:pPr>
              <w:spacing w:line="240" w:lineRule="auto"/>
            </w:pPr>
            <w:r>
              <w:rPr>
                <w:rFonts w:hint="eastAsia"/>
              </w:rPr>
              <w:t>2.支持大于等于43英寸触摸屏界面展示；</w:t>
            </w:r>
          </w:p>
          <w:p>
            <w:pPr>
              <w:spacing w:line="240" w:lineRule="auto"/>
            </w:pPr>
            <w:r>
              <w:rPr>
                <w:rFonts w:hint="eastAsia"/>
              </w:rPr>
              <w:t>3.系统基础功能支持设备监控实时状态，系统日志查询，设备管理、用户管理，系统设置、时间设置等相关系统参数配置，以及系统升级功能；</w:t>
            </w:r>
          </w:p>
          <w:p>
            <w:pPr>
              <w:spacing w:line="240" w:lineRule="auto"/>
            </w:pPr>
            <w:r>
              <w:rPr>
                <w:rFonts w:hint="eastAsia"/>
              </w:rPr>
              <w:t>4.支持通过配置SNMP北向协议接口访问微模块监控系统；</w:t>
            </w:r>
          </w:p>
          <w:p>
            <w:pPr>
              <w:spacing w:line="240" w:lineRule="auto"/>
            </w:pPr>
            <w:r>
              <w:rPr>
                <w:rFonts w:hint="eastAsia"/>
              </w:rPr>
              <w:t>5.WEB界面和43英寸大屏首页支持3D机房图展示，含微模块3D、安防视图、U位容量、配电容量、制冷容量功能展示，支持配电链路、制冷链路、通讯链路展示；</w:t>
            </w:r>
          </w:p>
          <w:p>
            <w:pPr>
              <w:spacing w:line="240" w:lineRule="auto"/>
            </w:pPr>
            <w:r>
              <w:rPr>
                <w:rFonts w:hint="eastAsia"/>
              </w:rPr>
              <w:t>6.支持计划管理软件：支持自定义计划任务实现制冷调节，UPS关机，UPS放电，支持任务提醒，并可通过短信、邮件等方式提前通知用户；</w:t>
            </w:r>
          </w:p>
          <w:p>
            <w:pPr>
              <w:spacing w:line="240" w:lineRule="auto"/>
            </w:pPr>
            <w:r>
              <w:rPr>
                <w:rFonts w:hint="eastAsia"/>
              </w:rPr>
              <w:t>7.支持报表管理软件：支持设备历史事件图表、历史数据的图表展示，事件列表查询、历史数据列表查询，并可以excel表格导出；</w:t>
            </w:r>
          </w:p>
          <w:p>
            <w:pPr>
              <w:spacing w:line="240" w:lineRule="auto"/>
            </w:pPr>
            <w:r>
              <w:rPr>
                <w:rFonts w:hint="eastAsia"/>
              </w:rPr>
              <w:t>8.支持告警管理软件：实现告警等级管理、告警事件管理、告警通知方式、用户告警设置、告警通知记录、告警联动管理、告警通知模板设置、告警屏蔽管理、告警收敛管理等功能。可自定义告警等级，自定义告警通知模板，自定义告警屏蔽策略以及告警收敛策略软件。</w:t>
            </w:r>
          </w:p>
          <w:p>
            <w:pPr>
              <w:spacing w:line="240" w:lineRule="auto"/>
            </w:pPr>
            <w:r>
              <w:rPr>
                <w:rFonts w:hint="eastAsia"/>
              </w:rPr>
              <w:t>9.支持容量管理软件：支持微模块内配电容量，制冷容量，U位容量的手动配置管理与展示。</w:t>
            </w:r>
          </w:p>
          <w:p>
            <w:pPr>
              <w:spacing w:line="240" w:lineRule="auto"/>
            </w:pPr>
            <w:r>
              <w:rPr>
                <w:rFonts w:hint="eastAsia"/>
              </w:rPr>
              <w:t>10.支持微模块系统能耗的配置管理及实时能耗展示，并以列表和图标形式展示历史能耗数据。</w:t>
            </w:r>
          </w:p>
          <w:p>
            <w:pPr>
              <w:spacing w:line="240" w:lineRule="auto"/>
            </w:pPr>
            <w:r>
              <w:rPr>
                <w:rFonts w:hint="eastAsia"/>
              </w:rPr>
              <w:t>11. 支持摄像头，NVR实时码流查看，NVR可支持回放功能查看；</w:t>
            </w:r>
          </w:p>
          <w:p>
            <w:pPr>
              <w:spacing w:line="240" w:lineRule="auto"/>
            </w:pPr>
            <w:r>
              <w:rPr>
                <w:rFonts w:hint="eastAsia"/>
              </w:rPr>
              <w:t>12. 支持手机APP展示功能；</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27</w:t>
            </w:r>
          </w:p>
        </w:tc>
        <w:tc>
          <w:tcPr>
            <w:tcW w:w="1694" w:type="dxa"/>
            <w:shd w:val="clear" w:color="auto" w:fill="auto"/>
            <w:noWrap/>
            <w:vAlign w:val="center"/>
          </w:tcPr>
          <w:p>
            <w:pPr>
              <w:spacing w:line="240" w:lineRule="auto"/>
            </w:pPr>
            <w:r>
              <w:rPr>
                <w:rFonts w:hint="eastAsia"/>
              </w:rPr>
              <w:t>监控附件包</w:t>
            </w:r>
          </w:p>
        </w:tc>
        <w:tc>
          <w:tcPr>
            <w:tcW w:w="5673" w:type="dxa"/>
            <w:shd w:val="clear" w:color="auto" w:fill="auto"/>
            <w:noWrap/>
            <w:vAlign w:val="center"/>
          </w:tcPr>
          <w:p>
            <w:pPr>
              <w:spacing w:line="240" w:lineRule="auto"/>
            </w:pPr>
            <w:r>
              <w:rPr>
                <w:rFonts w:hint="eastAsia"/>
              </w:rPr>
              <w:t>1、配置一套大于等于43英寸触摸屏，i5处理器，正版windows10，1080*1920分辨率，支持网络接口通讯，大屏首页支持3D机房图展示，含微模块3D、安防视图、U位容量、配电容量、制冷容量功能展示，支持配电链路、制冷链路、通讯链路展示；</w:t>
            </w:r>
          </w:p>
          <w:p>
            <w:pPr>
              <w:spacing w:line="240" w:lineRule="auto"/>
            </w:pPr>
            <w:r>
              <w:rPr>
                <w:rFonts w:hint="eastAsia"/>
              </w:rPr>
              <w:t>2、含1套4G短信模块,一台交换机</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28</w:t>
            </w:r>
          </w:p>
        </w:tc>
        <w:tc>
          <w:tcPr>
            <w:tcW w:w="1694" w:type="dxa"/>
            <w:shd w:val="clear" w:color="auto" w:fill="auto"/>
            <w:noWrap/>
            <w:vAlign w:val="center"/>
          </w:tcPr>
          <w:p>
            <w:pPr>
              <w:spacing w:line="240" w:lineRule="auto"/>
            </w:pPr>
            <w:r>
              <w:rPr>
                <w:rFonts w:hint="eastAsia"/>
              </w:rPr>
              <w:t>安防整改</w:t>
            </w:r>
          </w:p>
        </w:tc>
        <w:tc>
          <w:tcPr>
            <w:tcW w:w="5673" w:type="dxa"/>
            <w:shd w:val="clear" w:color="auto" w:fill="auto"/>
            <w:noWrap/>
            <w:vAlign w:val="center"/>
          </w:tcPr>
          <w:p>
            <w:pPr>
              <w:spacing w:line="240" w:lineRule="auto"/>
            </w:pPr>
            <w:r>
              <w:rPr>
                <w:rFonts w:hint="eastAsia"/>
              </w:rPr>
              <w:t>要求整改原有机房所有门禁及监控设备符合国密标准，与现有的机房统一管理</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29</w:t>
            </w:r>
          </w:p>
        </w:tc>
        <w:tc>
          <w:tcPr>
            <w:tcW w:w="1694" w:type="dxa"/>
            <w:shd w:val="clear" w:color="auto" w:fill="auto"/>
            <w:noWrap/>
            <w:vAlign w:val="center"/>
          </w:tcPr>
          <w:p>
            <w:pPr>
              <w:spacing w:line="240" w:lineRule="auto"/>
            </w:pPr>
            <w:r>
              <w:rPr>
                <w:rFonts w:hint="eastAsia"/>
              </w:rPr>
              <w:t>安装调试</w:t>
            </w:r>
          </w:p>
        </w:tc>
        <w:tc>
          <w:tcPr>
            <w:tcW w:w="5673" w:type="dxa"/>
            <w:shd w:val="clear" w:color="auto" w:fill="auto"/>
            <w:noWrap/>
            <w:vAlign w:val="center"/>
          </w:tcPr>
          <w:p>
            <w:pPr>
              <w:spacing w:line="240" w:lineRule="auto"/>
            </w:pPr>
            <w:r>
              <w:rPr>
                <w:rFonts w:hint="eastAsia"/>
              </w:rPr>
              <w:t>原厂设备开机费、调试费</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30</w:t>
            </w:r>
          </w:p>
        </w:tc>
        <w:tc>
          <w:tcPr>
            <w:tcW w:w="1694" w:type="dxa"/>
            <w:shd w:val="clear" w:color="auto" w:fill="auto"/>
            <w:noWrap/>
            <w:vAlign w:val="center"/>
          </w:tcPr>
          <w:p>
            <w:pPr>
              <w:spacing w:line="240" w:lineRule="auto"/>
            </w:pPr>
            <w:r>
              <w:rPr>
                <w:rFonts w:hint="eastAsia"/>
              </w:rPr>
              <w:t>辅材</w:t>
            </w:r>
          </w:p>
        </w:tc>
        <w:tc>
          <w:tcPr>
            <w:tcW w:w="5673" w:type="dxa"/>
            <w:shd w:val="clear" w:color="auto" w:fill="auto"/>
            <w:noWrap/>
            <w:vAlign w:val="center"/>
          </w:tcPr>
          <w:p>
            <w:pPr>
              <w:spacing w:line="240" w:lineRule="auto"/>
            </w:pPr>
            <w:r>
              <w:rPr>
                <w:rFonts w:hint="eastAsia"/>
              </w:rPr>
              <w:t>　</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31</w:t>
            </w:r>
          </w:p>
        </w:tc>
        <w:tc>
          <w:tcPr>
            <w:tcW w:w="1694" w:type="dxa"/>
            <w:shd w:val="clear" w:color="auto" w:fill="auto"/>
            <w:noWrap/>
            <w:vAlign w:val="center"/>
          </w:tcPr>
          <w:p>
            <w:pPr>
              <w:spacing w:line="240" w:lineRule="auto"/>
            </w:pPr>
            <w:r>
              <w:rPr>
                <w:rFonts w:hint="eastAsia"/>
              </w:rPr>
              <w:t>施工费</w:t>
            </w:r>
          </w:p>
        </w:tc>
        <w:tc>
          <w:tcPr>
            <w:tcW w:w="5673" w:type="dxa"/>
            <w:shd w:val="clear" w:color="auto" w:fill="auto"/>
            <w:noWrap/>
            <w:vAlign w:val="center"/>
          </w:tcPr>
          <w:p>
            <w:pPr>
              <w:spacing w:line="240" w:lineRule="auto"/>
            </w:pPr>
            <w:r>
              <w:rPr>
                <w:rFonts w:hint="eastAsia"/>
              </w:rPr>
              <w:t>一体化机房施工</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8" w:type="dxa"/>
            <w:gridSpan w:val="5"/>
            <w:shd w:val="clear" w:color="auto" w:fill="auto"/>
            <w:noWrap/>
            <w:vAlign w:val="center"/>
          </w:tcPr>
          <w:p>
            <w:pPr>
              <w:spacing w:line="240" w:lineRule="auto"/>
            </w:pPr>
            <w:r>
              <w:rPr>
                <w:rFonts w:hint="eastAsia"/>
              </w:rPr>
              <w:t>3.机房通信设备交换机及弱电布线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w:t>
            </w:r>
          </w:p>
        </w:tc>
        <w:tc>
          <w:tcPr>
            <w:tcW w:w="1694" w:type="dxa"/>
            <w:shd w:val="clear" w:color="auto" w:fill="auto"/>
            <w:noWrap/>
            <w:vAlign w:val="center"/>
          </w:tcPr>
          <w:p>
            <w:pPr>
              <w:spacing w:line="240" w:lineRule="auto"/>
            </w:pPr>
            <w:r>
              <w:rPr>
                <w:rFonts w:hint="eastAsia"/>
              </w:rPr>
              <w:t>内网汇聚交换机</w:t>
            </w:r>
          </w:p>
        </w:tc>
        <w:tc>
          <w:tcPr>
            <w:tcW w:w="5673" w:type="dxa"/>
            <w:shd w:val="clear" w:color="auto" w:fill="auto"/>
            <w:noWrap/>
            <w:vAlign w:val="center"/>
          </w:tcPr>
          <w:p>
            <w:pPr>
              <w:spacing w:line="240" w:lineRule="auto"/>
            </w:pPr>
            <w:r>
              <w:rPr>
                <w:rFonts w:hint="eastAsia"/>
              </w:rPr>
              <w:t>主机箱，共5个槽位，包含2个引擎槽位和3个业务槽位；2个新一代高性能引擎；2个电源模块（交流，1000W）；32个万兆以太网光口，含光模块；堆叠线缆；含符合项目需求相关配件</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w:t>
            </w:r>
          </w:p>
        </w:tc>
        <w:tc>
          <w:tcPr>
            <w:tcW w:w="1694" w:type="dxa"/>
            <w:shd w:val="clear" w:color="auto" w:fill="auto"/>
            <w:noWrap/>
            <w:vAlign w:val="center"/>
          </w:tcPr>
          <w:p>
            <w:pPr>
              <w:spacing w:line="240" w:lineRule="auto"/>
            </w:pPr>
            <w:r>
              <w:rPr>
                <w:rFonts w:hint="eastAsia"/>
              </w:rPr>
              <w:t>内网万兆接入交换机</w:t>
            </w:r>
          </w:p>
        </w:tc>
        <w:tc>
          <w:tcPr>
            <w:tcW w:w="5673" w:type="dxa"/>
            <w:shd w:val="clear" w:color="auto" w:fill="auto"/>
            <w:noWrap/>
            <w:vAlign w:val="center"/>
          </w:tcPr>
          <w:p>
            <w:pPr>
              <w:spacing w:line="240" w:lineRule="auto"/>
            </w:pPr>
            <w:r>
              <w:rPr>
                <w:rFonts w:hint="eastAsia"/>
              </w:rPr>
              <w:t>标准三层万兆交换机，20个1G/2.5G/10G SFP+光口，4个10G/25G SFP28光口，2个40G QSFP+光口，交换容量2.56T/25.6T，包转发率720Mpps/1260Mpps含符合项目需求相关配件</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w:t>
            </w:r>
          </w:p>
        </w:tc>
        <w:tc>
          <w:tcPr>
            <w:tcW w:w="1694" w:type="dxa"/>
            <w:shd w:val="clear" w:color="auto" w:fill="auto"/>
            <w:noWrap/>
            <w:vAlign w:val="center"/>
          </w:tcPr>
          <w:p>
            <w:pPr>
              <w:spacing w:line="240" w:lineRule="auto"/>
            </w:pPr>
            <w:r>
              <w:rPr>
                <w:rFonts w:hint="eastAsia"/>
              </w:rPr>
              <w:t>内网千兆接入交换机</w:t>
            </w:r>
          </w:p>
        </w:tc>
        <w:tc>
          <w:tcPr>
            <w:tcW w:w="5673" w:type="dxa"/>
            <w:shd w:val="clear" w:color="auto" w:fill="auto"/>
            <w:noWrap/>
            <w:vAlign w:val="center"/>
          </w:tcPr>
          <w:p>
            <w:pPr>
              <w:spacing w:line="240" w:lineRule="auto"/>
            </w:pPr>
            <w:r>
              <w:rPr>
                <w:rFonts w:hint="eastAsia"/>
              </w:rPr>
              <w:t>48个10/100/1000M自适应电口，4个10G/1G SFP+光口；交换容量432Gbps/4.32Tbps，包转发率166Mpps含符合项目需求相关配件</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4</w:t>
            </w:r>
          </w:p>
        </w:tc>
        <w:tc>
          <w:tcPr>
            <w:tcW w:w="1694" w:type="dxa"/>
            <w:shd w:val="clear" w:color="auto" w:fill="auto"/>
            <w:noWrap/>
            <w:vAlign w:val="center"/>
          </w:tcPr>
          <w:p>
            <w:pPr>
              <w:spacing w:line="240" w:lineRule="auto"/>
            </w:pPr>
            <w:r>
              <w:rPr>
                <w:rFonts w:hint="eastAsia"/>
              </w:rPr>
              <w:t>外网千兆接入交换机</w:t>
            </w:r>
          </w:p>
        </w:tc>
        <w:tc>
          <w:tcPr>
            <w:tcW w:w="5673" w:type="dxa"/>
            <w:shd w:val="clear" w:color="auto" w:fill="auto"/>
            <w:noWrap/>
            <w:vAlign w:val="center"/>
          </w:tcPr>
          <w:p>
            <w:pPr>
              <w:spacing w:line="240" w:lineRule="auto"/>
            </w:pPr>
            <w:r>
              <w:rPr>
                <w:rFonts w:hint="eastAsia"/>
              </w:rPr>
              <w:t>24个10/100/1000M自适应电口，4个10G/1G SFP+光口；交换容量336Gbps/3.36Tbps，包转发率126Mpps含符合项目需求相关配件</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5</w:t>
            </w:r>
          </w:p>
        </w:tc>
        <w:tc>
          <w:tcPr>
            <w:tcW w:w="1694" w:type="dxa"/>
            <w:shd w:val="clear" w:color="auto" w:fill="auto"/>
            <w:noWrap/>
            <w:vAlign w:val="center"/>
          </w:tcPr>
          <w:p>
            <w:pPr>
              <w:spacing w:line="240" w:lineRule="auto"/>
            </w:pPr>
            <w:r>
              <w:rPr>
                <w:rFonts w:hint="eastAsia"/>
              </w:rPr>
              <w:t>外网万兆交换机</w:t>
            </w:r>
          </w:p>
        </w:tc>
        <w:tc>
          <w:tcPr>
            <w:tcW w:w="5673" w:type="dxa"/>
            <w:shd w:val="clear" w:color="auto" w:fill="auto"/>
            <w:noWrap/>
            <w:vAlign w:val="center"/>
          </w:tcPr>
          <w:p>
            <w:pPr>
              <w:spacing w:line="240" w:lineRule="auto"/>
            </w:pPr>
            <w:r>
              <w:rPr>
                <w:rFonts w:hint="eastAsia"/>
              </w:rPr>
              <w:t>标准三层万兆交换机，20个1G/2.5G/10G SFP+光口，4个10G/25G SFP28光口，2个40G QSFP+光口，交换容量2.56T/25.6T，包转发率720Mpps/1260Mpps含符合项目需求相关配件</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6</w:t>
            </w:r>
          </w:p>
        </w:tc>
        <w:tc>
          <w:tcPr>
            <w:tcW w:w="1694" w:type="dxa"/>
            <w:shd w:val="clear" w:color="auto" w:fill="auto"/>
            <w:noWrap/>
            <w:vAlign w:val="center"/>
          </w:tcPr>
          <w:p>
            <w:pPr>
              <w:spacing w:line="240" w:lineRule="auto"/>
            </w:pPr>
            <w:r>
              <w:rPr>
                <w:rFonts w:hint="eastAsia"/>
              </w:rPr>
              <w:t>外网现机房电口汇聚交换机</w:t>
            </w:r>
          </w:p>
        </w:tc>
        <w:tc>
          <w:tcPr>
            <w:tcW w:w="5673" w:type="dxa"/>
            <w:shd w:val="clear" w:color="auto" w:fill="auto"/>
            <w:noWrap/>
            <w:vAlign w:val="center"/>
          </w:tcPr>
          <w:p>
            <w:pPr>
              <w:spacing w:line="240" w:lineRule="auto"/>
            </w:pPr>
            <w:r>
              <w:rPr>
                <w:rFonts w:hint="eastAsia"/>
              </w:rPr>
              <w:t>48口10/100/1000M自适应电口，4个1G/10G SFP+光口，2个扩展槽，2个模块化电源插槽；配置2个70W电源模块，1条万兆堆叠线缆；交换容量 1.36Tbps/13.6Tbps，包转发率252/462Mpps；</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7</w:t>
            </w:r>
          </w:p>
        </w:tc>
        <w:tc>
          <w:tcPr>
            <w:tcW w:w="1694" w:type="dxa"/>
            <w:shd w:val="clear" w:color="auto" w:fill="auto"/>
            <w:noWrap/>
            <w:vAlign w:val="center"/>
          </w:tcPr>
          <w:p>
            <w:pPr>
              <w:spacing w:line="240" w:lineRule="auto"/>
            </w:pPr>
            <w:r>
              <w:rPr>
                <w:rFonts w:hint="eastAsia"/>
              </w:rPr>
              <w:t>网络系统及综合布线系统</w:t>
            </w:r>
          </w:p>
        </w:tc>
        <w:tc>
          <w:tcPr>
            <w:tcW w:w="5673" w:type="dxa"/>
            <w:shd w:val="clear" w:color="auto" w:fill="auto"/>
            <w:noWrap/>
            <w:vAlign w:val="center"/>
          </w:tcPr>
          <w:p>
            <w:pPr>
              <w:spacing w:line="240" w:lineRule="auto"/>
            </w:pPr>
            <w:r>
              <w:rPr>
                <w:rFonts w:hint="eastAsia"/>
              </w:rPr>
              <w:t>提供铺设新机房与原有机房光纤链路，布线铺设应提供满足本次综合布线系统的所有通讯材料及辅材（包括但不限于光纤线缆、六类网线、配线架、耦合器、终端盒等相关配件），实现新机房与现有机房外网、内网联通。</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8</w:t>
            </w:r>
          </w:p>
        </w:tc>
        <w:tc>
          <w:tcPr>
            <w:tcW w:w="1694" w:type="dxa"/>
            <w:shd w:val="clear" w:color="auto" w:fill="auto"/>
            <w:noWrap/>
            <w:vAlign w:val="center"/>
          </w:tcPr>
          <w:p>
            <w:pPr>
              <w:spacing w:line="240" w:lineRule="auto"/>
            </w:pPr>
            <w:r>
              <w:rPr>
                <w:rFonts w:hint="eastAsia"/>
              </w:rPr>
              <w:t>技术服务</w:t>
            </w:r>
          </w:p>
        </w:tc>
        <w:tc>
          <w:tcPr>
            <w:tcW w:w="5673" w:type="dxa"/>
            <w:shd w:val="clear" w:color="auto" w:fill="auto"/>
            <w:noWrap/>
            <w:vAlign w:val="center"/>
          </w:tcPr>
          <w:p>
            <w:pPr>
              <w:spacing w:line="240" w:lineRule="auto"/>
            </w:pPr>
            <w:r>
              <w:rPr>
                <w:rFonts w:hint="eastAsia"/>
              </w:rPr>
              <w:t>本次项目新建机房的网络设备，需兼容现有锐捷网络运维管理平台。同时提供具备专业认证的工程师提供网络运维管理对接调试服务，并按要求做好相应管理策略。若因平台授权不足导致设备无法接入，供应商应免费补足所需授权许可；实施工程师应具备所投网络设备和网络运维管理平台原厂认证证书。</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640" w:type="dxa"/>
            <w:shd w:val="clear" w:color="auto" w:fill="auto"/>
            <w:noWrap/>
            <w:vAlign w:val="center"/>
          </w:tcPr>
          <w:p>
            <w:pPr>
              <w:spacing w:line="240" w:lineRule="auto"/>
            </w:pPr>
            <w:r>
              <w:rPr>
                <w:rFonts w:hint="eastAsia"/>
              </w:rPr>
              <w:t>9</w:t>
            </w:r>
          </w:p>
        </w:tc>
        <w:tc>
          <w:tcPr>
            <w:tcW w:w="1694" w:type="dxa"/>
            <w:shd w:val="clear" w:color="auto" w:fill="auto"/>
            <w:noWrap/>
            <w:vAlign w:val="center"/>
          </w:tcPr>
          <w:p>
            <w:pPr>
              <w:spacing w:line="240" w:lineRule="auto"/>
            </w:pPr>
            <w:r>
              <w:rPr>
                <w:rFonts w:hint="eastAsia"/>
              </w:rPr>
              <w:t>安装调试服务</w:t>
            </w:r>
          </w:p>
        </w:tc>
        <w:tc>
          <w:tcPr>
            <w:tcW w:w="5673" w:type="dxa"/>
            <w:shd w:val="clear" w:color="auto" w:fill="auto"/>
            <w:noWrap/>
            <w:vAlign w:val="center"/>
          </w:tcPr>
          <w:p>
            <w:pPr>
              <w:spacing w:line="240" w:lineRule="auto"/>
            </w:pPr>
            <w:r>
              <w:rPr>
                <w:rFonts w:hint="eastAsia"/>
              </w:rPr>
              <w:t>网络设备安装上架调试费用</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640" w:type="dxa"/>
            <w:shd w:val="clear" w:color="auto" w:fill="auto"/>
            <w:noWrap/>
            <w:vAlign w:val="center"/>
          </w:tcPr>
          <w:p>
            <w:pPr>
              <w:spacing w:line="240" w:lineRule="auto"/>
            </w:pPr>
            <w:r>
              <w:rPr>
                <w:rFonts w:hint="eastAsia"/>
              </w:rPr>
              <w:t>10</w:t>
            </w:r>
          </w:p>
        </w:tc>
        <w:tc>
          <w:tcPr>
            <w:tcW w:w="1694" w:type="dxa"/>
            <w:shd w:val="clear" w:color="auto" w:fill="auto"/>
            <w:noWrap/>
            <w:vAlign w:val="center"/>
          </w:tcPr>
          <w:p>
            <w:pPr>
              <w:spacing w:line="240" w:lineRule="auto"/>
            </w:pPr>
            <w:r>
              <w:rPr>
                <w:rFonts w:hint="eastAsia"/>
              </w:rPr>
              <w:t>实施服务</w:t>
            </w:r>
          </w:p>
        </w:tc>
        <w:tc>
          <w:tcPr>
            <w:tcW w:w="5673" w:type="dxa"/>
            <w:shd w:val="clear" w:color="auto" w:fill="auto"/>
            <w:noWrap/>
            <w:vAlign w:val="center"/>
          </w:tcPr>
          <w:p>
            <w:pPr>
              <w:spacing w:line="240" w:lineRule="auto"/>
            </w:pPr>
            <w:r>
              <w:rPr>
                <w:rFonts w:hint="eastAsia"/>
              </w:rPr>
              <w:t>综合布线实施施工</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8" w:type="dxa"/>
            <w:gridSpan w:val="5"/>
            <w:shd w:val="clear" w:color="auto" w:fill="auto"/>
            <w:noWrap/>
            <w:vAlign w:val="center"/>
          </w:tcPr>
          <w:p>
            <w:pPr>
              <w:spacing w:line="240" w:lineRule="auto"/>
            </w:pPr>
            <w:r>
              <w:rPr>
                <w:rFonts w:hint="eastAsia"/>
              </w:rPr>
              <w:t>4.机房安全设备防火墙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w:t>
            </w:r>
          </w:p>
        </w:tc>
        <w:tc>
          <w:tcPr>
            <w:tcW w:w="1694" w:type="dxa"/>
            <w:shd w:val="clear" w:color="auto" w:fill="auto"/>
            <w:noWrap/>
            <w:vAlign w:val="center"/>
          </w:tcPr>
          <w:p>
            <w:pPr>
              <w:spacing w:line="240" w:lineRule="auto"/>
            </w:pPr>
            <w:r>
              <w:rPr>
                <w:rFonts w:hint="eastAsia"/>
              </w:rPr>
              <w:t>安全产品防火墙</w:t>
            </w:r>
          </w:p>
        </w:tc>
        <w:tc>
          <w:tcPr>
            <w:tcW w:w="5673" w:type="dxa"/>
            <w:shd w:val="clear" w:color="auto" w:fill="auto"/>
            <w:noWrap/>
            <w:vAlign w:val="center"/>
          </w:tcPr>
          <w:p>
            <w:pPr>
              <w:spacing w:line="240" w:lineRule="auto"/>
            </w:pPr>
            <w:r>
              <w:rPr>
                <w:rFonts w:hint="eastAsia"/>
              </w:rPr>
              <w:t>2U设备，冗余电源；采用国产化海光平台和银河麒麟操作系统，内存≥64G，硬盘≥4T，SSD硬盘≥128G；提供2个千兆电口、4个接口扩展插槽、1个RJ45串口、2个USB接口；系统吞吐量≥160Gbps，应用吞吐量≥20Gbps，最大并发连接数≥4000万，每秒新建连接数≥50万；配置8个万兆SFP+光口，满配8个多模万兆模块，配置4个40G光口，满配4个40G多模模块，三年硬件保修，三年IPS许可，三年防病毒许可。</w:t>
            </w:r>
          </w:p>
          <w:p>
            <w:pPr>
              <w:spacing w:line="240" w:lineRule="auto"/>
            </w:pPr>
            <w:r>
              <w:rPr>
                <w:rFonts w:hint="eastAsia"/>
              </w:rPr>
              <w:t>防火墙全功能开放达到10G以上实网防护能力，含防火墙、入侵防御、网络防病毒、WEB防护、抗DDOS防护。</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w:t>
            </w:r>
          </w:p>
        </w:tc>
        <w:tc>
          <w:tcPr>
            <w:tcW w:w="1694" w:type="dxa"/>
            <w:shd w:val="clear" w:color="auto" w:fill="auto"/>
            <w:noWrap/>
            <w:vAlign w:val="center"/>
          </w:tcPr>
          <w:p>
            <w:pPr>
              <w:spacing w:line="240" w:lineRule="auto"/>
            </w:pPr>
            <w:r>
              <w:rPr>
                <w:rFonts w:hint="eastAsia"/>
              </w:rPr>
              <w:t>技术服务</w:t>
            </w:r>
          </w:p>
        </w:tc>
        <w:tc>
          <w:tcPr>
            <w:tcW w:w="5673" w:type="dxa"/>
            <w:shd w:val="clear" w:color="auto" w:fill="auto"/>
            <w:noWrap/>
            <w:vAlign w:val="center"/>
          </w:tcPr>
          <w:p>
            <w:pPr>
              <w:spacing w:line="240" w:lineRule="auto"/>
            </w:pPr>
            <w:r>
              <w:rPr>
                <w:rFonts w:hint="eastAsia"/>
              </w:rPr>
              <w:t>利旧原有2台旧防火墙，通过有效利用现有资源与新增设备的结合，将在显著提升外网区域、内网区域安全防护能力的同时；保障内外网区域业务高效稳定运行，为医院信息安全构建更为坚固的防线。</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w:t>
            </w:r>
          </w:p>
        </w:tc>
        <w:tc>
          <w:tcPr>
            <w:tcW w:w="1694" w:type="dxa"/>
            <w:shd w:val="clear" w:color="auto" w:fill="auto"/>
            <w:noWrap/>
            <w:vAlign w:val="center"/>
          </w:tcPr>
          <w:p>
            <w:pPr>
              <w:spacing w:line="240" w:lineRule="auto"/>
            </w:pPr>
            <w:r>
              <w:rPr>
                <w:rFonts w:hint="eastAsia"/>
              </w:rPr>
              <w:t>安装调试服务</w:t>
            </w:r>
          </w:p>
        </w:tc>
        <w:tc>
          <w:tcPr>
            <w:tcW w:w="5673" w:type="dxa"/>
            <w:shd w:val="clear" w:color="auto" w:fill="auto"/>
            <w:noWrap/>
            <w:vAlign w:val="center"/>
          </w:tcPr>
          <w:p>
            <w:pPr>
              <w:spacing w:line="240" w:lineRule="auto"/>
            </w:pPr>
            <w:r>
              <w:rPr>
                <w:rFonts w:hint="eastAsia"/>
              </w:rPr>
              <w:t>设备安装及原厂安装调试</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8" w:type="dxa"/>
            <w:gridSpan w:val="5"/>
            <w:shd w:val="clear" w:color="auto" w:fill="auto"/>
            <w:noWrap/>
            <w:vAlign w:val="center"/>
          </w:tcPr>
          <w:p>
            <w:pPr>
              <w:spacing w:line="240" w:lineRule="auto"/>
            </w:pPr>
            <w:r>
              <w:rPr>
                <w:rFonts w:hint="eastAsia"/>
              </w:rPr>
              <w:t>5.动力电缆供电主线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w:t>
            </w:r>
          </w:p>
        </w:tc>
        <w:tc>
          <w:tcPr>
            <w:tcW w:w="1694" w:type="dxa"/>
            <w:shd w:val="clear" w:color="auto" w:fill="auto"/>
            <w:noWrap/>
            <w:vAlign w:val="center"/>
          </w:tcPr>
          <w:p>
            <w:pPr>
              <w:spacing w:line="240" w:lineRule="auto"/>
            </w:pPr>
            <w:r>
              <w:rPr>
                <w:rFonts w:hint="eastAsia"/>
              </w:rPr>
              <w:t>电力电缆</w:t>
            </w:r>
          </w:p>
        </w:tc>
        <w:tc>
          <w:tcPr>
            <w:tcW w:w="5673" w:type="dxa"/>
            <w:shd w:val="clear" w:color="auto" w:fill="auto"/>
            <w:noWrap/>
            <w:vAlign w:val="center"/>
          </w:tcPr>
          <w:p>
            <w:pPr>
              <w:spacing w:line="240" w:lineRule="auto"/>
            </w:pPr>
            <w:r>
              <w:rPr>
                <w:rFonts w:hint="eastAsia"/>
              </w:rPr>
              <w:t>WDZB-YJY-4x185+1*95mm2</w:t>
            </w:r>
          </w:p>
        </w:tc>
        <w:tc>
          <w:tcPr>
            <w:tcW w:w="850" w:type="dxa"/>
            <w:shd w:val="clear" w:color="auto" w:fill="auto"/>
            <w:noWrap/>
            <w:vAlign w:val="center"/>
          </w:tcPr>
          <w:p>
            <w:pPr>
              <w:spacing w:line="240" w:lineRule="auto"/>
            </w:pPr>
            <w:r>
              <w:rPr>
                <w:rFonts w:hint="eastAsia"/>
              </w:rPr>
              <w:t>m</w:t>
            </w:r>
          </w:p>
        </w:tc>
        <w:tc>
          <w:tcPr>
            <w:tcW w:w="851" w:type="dxa"/>
            <w:shd w:val="clear" w:color="auto" w:fill="auto"/>
            <w:noWrap/>
            <w:vAlign w:val="center"/>
          </w:tcPr>
          <w:p>
            <w:pPr>
              <w:spacing w:line="240" w:lineRule="auto"/>
            </w:pPr>
            <w:r>
              <w:rPr>
                <w:rFonts w:hint="eastAsia"/>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w:t>
            </w:r>
          </w:p>
        </w:tc>
        <w:tc>
          <w:tcPr>
            <w:tcW w:w="1694" w:type="dxa"/>
            <w:shd w:val="clear" w:color="auto" w:fill="auto"/>
            <w:noWrap/>
            <w:vAlign w:val="center"/>
          </w:tcPr>
          <w:p>
            <w:pPr>
              <w:spacing w:line="240" w:lineRule="auto"/>
            </w:pPr>
            <w:r>
              <w:rPr>
                <w:rFonts w:hint="eastAsia"/>
              </w:rPr>
              <w:t>金属桥架</w:t>
            </w:r>
          </w:p>
        </w:tc>
        <w:tc>
          <w:tcPr>
            <w:tcW w:w="5673" w:type="dxa"/>
            <w:shd w:val="clear" w:color="auto" w:fill="auto"/>
            <w:noWrap/>
            <w:vAlign w:val="center"/>
          </w:tcPr>
          <w:p>
            <w:pPr>
              <w:spacing w:line="240" w:lineRule="auto"/>
            </w:pPr>
            <w:r>
              <w:rPr>
                <w:rFonts w:hint="eastAsia"/>
              </w:rPr>
              <w:t>CT-300x100</w:t>
            </w:r>
          </w:p>
        </w:tc>
        <w:tc>
          <w:tcPr>
            <w:tcW w:w="850" w:type="dxa"/>
            <w:shd w:val="clear" w:color="auto" w:fill="auto"/>
            <w:noWrap/>
            <w:vAlign w:val="center"/>
          </w:tcPr>
          <w:p>
            <w:pPr>
              <w:spacing w:line="240" w:lineRule="auto"/>
            </w:pPr>
            <w:r>
              <w:rPr>
                <w:rFonts w:hint="eastAsia"/>
              </w:rPr>
              <w:t>m</w:t>
            </w:r>
          </w:p>
        </w:tc>
        <w:tc>
          <w:tcPr>
            <w:tcW w:w="851" w:type="dxa"/>
            <w:shd w:val="clear" w:color="auto" w:fill="auto"/>
            <w:noWrap/>
            <w:vAlign w:val="center"/>
          </w:tcPr>
          <w:p>
            <w:pPr>
              <w:spacing w:line="240" w:lineRule="auto"/>
            </w:pPr>
            <w:r>
              <w:rPr>
                <w:rFonts w:hint="eastAsi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w:t>
            </w:r>
          </w:p>
        </w:tc>
        <w:tc>
          <w:tcPr>
            <w:tcW w:w="1694" w:type="dxa"/>
            <w:shd w:val="clear" w:color="auto" w:fill="auto"/>
            <w:noWrap/>
            <w:vAlign w:val="center"/>
          </w:tcPr>
          <w:p>
            <w:pPr>
              <w:spacing w:line="240" w:lineRule="auto"/>
            </w:pPr>
            <w:r>
              <w:rPr>
                <w:rFonts w:hint="eastAsia"/>
              </w:rPr>
              <w:t>电力电缆头</w:t>
            </w:r>
          </w:p>
        </w:tc>
        <w:tc>
          <w:tcPr>
            <w:tcW w:w="5673" w:type="dxa"/>
            <w:shd w:val="clear" w:color="auto" w:fill="auto"/>
            <w:noWrap/>
            <w:vAlign w:val="center"/>
          </w:tcPr>
          <w:p>
            <w:pPr>
              <w:spacing w:line="240" w:lineRule="auto"/>
            </w:pPr>
            <w:r>
              <w:rPr>
                <w:rFonts w:hint="eastAsia"/>
              </w:rPr>
              <w:t>　</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4</w:t>
            </w:r>
          </w:p>
        </w:tc>
        <w:tc>
          <w:tcPr>
            <w:tcW w:w="1694" w:type="dxa"/>
            <w:shd w:val="clear" w:color="auto" w:fill="auto"/>
            <w:noWrap/>
            <w:vAlign w:val="center"/>
          </w:tcPr>
          <w:p>
            <w:pPr>
              <w:spacing w:line="240" w:lineRule="auto"/>
            </w:pPr>
            <w:r>
              <w:rPr>
                <w:rFonts w:hint="eastAsia"/>
              </w:rPr>
              <w:t>天花拆除及硅钙板安装</w:t>
            </w:r>
          </w:p>
        </w:tc>
        <w:tc>
          <w:tcPr>
            <w:tcW w:w="5673" w:type="dxa"/>
            <w:shd w:val="clear" w:color="auto" w:fill="auto"/>
            <w:noWrap/>
            <w:vAlign w:val="center"/>
          </w:tcPr>
          <w:p>
            <w:pPr>
              <w:spacing w:line="240" w:lineRule="auto"/>
            </w:pPr>
            <w:r>
              <w:rPr>
                <w:rFonts w:hint="eastAsia"/>
              </w:rPr>
              <w:t>天花拆除及硅钙板安装</w:t>
            </w:r>
          </w:p>
        </w:tc>
        <w:tc>
          <w:tcPr>
            <w:tcW w:w="850" w:type="dxa"/>
            <w:shd w:val="clear" w:color="auto" w:fill="auto"/>
            <w:noWrap/>
            <w:vAlign w:val="center"/>
          </w:tcPr>
          <w:p>
            <w:pPr>
              <w:spacing w:line="240" w:lineRule="auto"/>
            </w:pPr>
            <w:r>
              <w:rPr>
                <w:rFonts w:hint="eastAsia"/>
              </w:rPr>
              <w:t>m2</w:t>
            </w:r>
          </w:p>
        </w:tc>
        <w:tc>
          <w:tcPr>
            <w:tcW w:w="851" w:type="dxa"/>
            <w:shd w:val="clear" w:color="auto" w:fill="auto"/>
            <w:noWrap/>
            <w:vAlign w:val="center"/>
          </w:tcPr>
          <w:p>
            <w:pPr>
              <w:spacing w:line="240" w:lineRule="auto"/>
            </w:pPr>
            <w:r>
              <w:rPr>
                <w:rFonts w:hint="eastAsia"/>
              </w:rPr>
              <w:t>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5</w:t>
            </w:r>
          </w:p>
        </w:tc>
        <w:tc>
          <w:tcPr>
            <w:tcW w:w="1694" w:type="dxa"/>
            <w:shd w:val="clear" w:color="auto" w:fill="auto"/>
            <w:noWrap/>
            <w:vAlign w:val="center"/>
          </w:tcPr>
          <w:p>
            <w:pPr>
              <w:spacing w:line="240" w:lineRule="auto"/>
            </w:pPr>
            <w:r>
              <w:rPr>
                <w:rFonts w:hint="eastAsia"/>
              </w:rPr>
              <w:t>开洞</w:t>
            </w:r>
          </w:p>
        </w:tc>
        <w:tc>
          <w:tcPr>
            <w:tcW w:w="5673" w:type="dxa"/>
            <w:shd w:val="clear" w:color="auto" w:fill="auto"/>
            <w:noWrap/>
            <w:vAlign w:val="center"/>
          </w:tcPr>
          <w:p>
            <w:pPr>
              <w:spacing w:line="240" w:lineRule="auto"/>
            </w:pPr>
            <w:r>
              <w:rPr>
                <w:rFonts w:hint="eastAsia"/>
              </w:rPr>
              <w:t>管井开洞：-1到7层</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6</w:t>
            </w:r>
          </w:p>
        </w:tc>
        <w:tc>
          <w:tcPr>
            <w:tcW w:w="1694" w:type="dxa"/>
            <w:shd w:val="clear" w:color="auto" w:fill="auto"/>
            <w:noWrap/>
            <w:vAlign w:val="center"/>
          </w:tcPr>
          <w:p>
            <w:pPr>
              <w:spacing w:line="240" w:lineRule="auto"/>
            </w:pPr>
            <w:r>
              <w:rPr>
                <w:rFonts w:hint="eastAsia"/>
              </w:rPr>
              <w:t>高层施工增加</w:t>
            </w:r>
          </w:p>
        </w:tc>
        <w:tc>
          <w:tcPr>
            <w:tcW w:w="5673" w:type="dxa"/>
            <w:shd w:val="clear" w:color="auto" w:fill="auto"/>
            <w:noWrap/>
            <w:vAlign w:val="center"/>
          </w:tcPr>
          <w:p>
            <w:pPr>
              <w:spacing w:line="240" w:lineRule="auto"/>
            </w:pPr>
            <w:r>
              <w:rPr>
                <w:rFonts w:hint="eastAsia"/>
              </w:rPr>
              <w:t>　</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7</w:t>
            </w:r>
          </w:p>
        </w:tc>
        <w:tc>
          <w:tcPr>
            <w:tcW w:w="1694" w:type="dxa"/>
            <w:shd w:val="clear" w:color="auto" w:fill="auto"/>
            <w:noWrap/>
            <w:vAlign w:val="center"/>
          </w:tcPr>
          <w:p>
            <w:pPr>
              <w:spacing w:line="240" w:lineRule="auto"/>
            </w:pPr>
            <w:r>
              <w:rPr>
                <w:rFonts w:hint="eastAsia"/>
              </w:rPr>
              <w:t>脚手架搭拆费</w:t>
            </w:r>
          </w:p>
        </w:tc>
        <w:tc>
          <w:tcPr>
            <w:tcW w:w="5673" w:type="dxa"/>
            <w:shd w:val="clear" w:color="auto" w:fill="auto"/>
            <w:noWrap/>
            <w:vAlign w:val="center"/>
          </w:tcPr>
          <w:p>
            <w:pPr>
              <w:spacing w:line="240" w:lineRule="auto"/>
            </w:pPr>
            <w:r>
              <w:rPr>
                <w:rFonts w:hint="eastAsia"/>
              </w:rPr>
              <w:t>　</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8</w:t>
            </w:r>
          </w:p>
        </w:tc>
        <w:tc>
          <w:tcPr>
            <w:tcW w:w="1694" w:type="dxa"/>
            <w:shd w:val="clear" w:color="auto" w:fill="auto"/>
            <w:noWrap/>
            <w:vAlign w:val="center"/>
          </w:tcPr>
          <w:p>
            <w:pPr>
              <w:spacing w:line="240" w:lineRule="auto"/>
            </w:pPr>
            <w:r>
              <w:rPr>
                <w:rFonts w:hint="eastAsia"/>
              </w:rPr>
              <w:t>施工费</w:t>
            </w:r>
          </w:p>
        </w:tc>
        <w:tc>
          <w:tcPr>
            <w:tcW w:w="5673" w:type="dxa"/>
            <w:shd w:val="clear" w:color="auto" w:fill="auto"/>
            <w:noWrap/>
            <w:vAlign w:val="center"/>
          </w:tcPr>
          <w:p>
            <w:pPr>
              <w:spacing w:line="240" w:lineRule="auto"/>
            </w:pPr>
            <w:r>
              <w:rPr>
                <w:rFonts w:hint="eastAsia"/>
              </w:rPr>
              <w:t>机房主线路施工费用</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8" w:type="dxa"/>
            <w:gridSpan w:val="5"/>
            <w:shd w:val="clear" w:color="auto" w:fill="auto"/>
            <w:noWrap/>
            <w:vAlign w:val="center"/>
          </w:tcPr>
          <w:p>
            <w:pPr>
              <w:spacing w:line="240" w:lineRule="auto"/>
            </w:pPr>
            <w:r>
              <w:rPr>
                <w:rFonts w:hint="eastAsia"/>
              </w:rPr>
              <w:t>6.机房消防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w:t>
            </w:r>
          </w:p>
        </w:tc>
        <w:tc>
          <w:tcPr>
            <w:tcW w:w="1694" w:type="dxa"/>
            <w:shd w:val="clear" w:color="auto" w:fill="auto"/>
            <w:noWrap/>
            <w:vAlign w:val="center"/>
          </w:tcPr>
          <w:p>
            <w:pPr>
              <w:spacing w:line="240" w:lineRule="auto"/>
            </w:pPr>
            <w:r>
              <w:rPr>
                <w:rFonts w:hint="eastAsia"/>
              </w:rPr>
              <w:t>柜式七氟丙烷气体灭火装置</w:t>
            </w:r>
          </w:p>
        </w:tc>
        <w:tc>
          <w:tcPr>
            <w:tcW w:w="5673" w:type="dxa"/>
            <w:shd w:val="clear" w:color="auto" w:fill="auto"/>
            <w:noWrap/>
            <w:vAlign w:val="center"/>
          </w:tcPr>
          <w:p>
            <w:pPr>
              <w:spacing w:line="240" w:lineRule="auto"/>
            </w:pPr>
            <w:r>
              <w:rPr>
                <w:rFonts w:hint="eastAsia"/>
              </w:rPr>
              <w:t>GQQ90/2.5-QL，充83kg</w:t>
            </w:r>
          </w:p>
        </w:tc>
        <w:tc>
          <w:tcPr>
            <w:tcW w:w="850" w:type="dxa"/>
            <w:shd w:val="clear" w:color="auto" w:fill="auto"/>
            <w:noWrap/>
            <w:vAlign w:val="center"/>
          </w:tcPr>
          <w:p>
            <w:pPr>
              <w:spacing w:line="240" w:lineRule="auto"/>
            </w:pPr>
            <w:r>
              <w:rPr>
                <w:rFonts w:hint="eastAsia"/>
              </w:rPr>
              <w:t>套</w:t>
            </w:r>
          </w:p>
        </w:tc>
        <w:tc>
          <w:tcPr>
            <w:tcW w:w="851" w:type="dxa"/>
            <w:shd w:val="clear" w:color="auto" w:fill="auto"/>
            <w:noWrap/>
            <w:vAlign w:val="center"/>
          </w:tcPr>
          <w:p>
            <w:pPr>
              <w:spacing w:line="240" w:lineRule="auto"/>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2</w:t>
            </w:r>
          </w:p>
        </w:tc>
        <w:tc>
          <w:tcPr>
            <w:tcW w:w="1694" w:type="dxa"/>
            <w:shd w:val="clear" w:color="auto" w:fill="auto"/>
            <w:noWrap/>
            <w:vAlign w:val="center"/>
          </w:tcPr>
          <w:p>
            <w:pPr>
              <w:spacing w:line="240" w:lineRule="auto"/>
            </w:pPr>
            <w:r>
              <w:rPr>
                <w:rFonts w:hint="eastAsia"/>
              </w:rPr>
              <w:t>七氟丙烷药剂</w:t>
            </w:r>
          </w:p>
        </w:tc>
        <w:tc>
          <w:tcPr>
            <w:tcW w:w="5673" w:type="dxa"/>
            <w:shd w:val="clear" w:color="auto" w:fill="auto"/>
            <w:noWrap/>
            <w:vAlign w:val="center"/>
          </w:tcPr>
          <w:p>
            <w:pPr>
              <w:spacing w:line="240" w:lineRule="auto"/>
            </w:pPr>
            <w:r>
              <w:rPr>
                <w:rFonts w:hint="eastAsia"/>
              </w:rPr>
              <w:t>HFC-227ea</w:t>
            </w:r>
          </w:p>
        </w:tc>
        <w:tc>
          <w:tcPr>
            <w:tcW w:w="850" w:type="dxa"/>
            <w:shd w:val="clear" w:color="auto" w:fill="auto"/>
            <w:noWrap/>
            <w:vAlign w:val="center"/>
          </w:tcPr>
          <w:p>
            <w:pPr>
              <w:spacing w:line="240" w:lineRule="auto"/>
            </w:pPr>
            <w:r>
              <w:rPr>
                <w:rFonts w:hint="eastAsia"/>
              </w:rPr>
              <w:t>kg</w:t>
            </w:r>
          </w:p>
        </w:tc>
        <w:tc>
          <w:tcPr>
            <w:tcW w:w="851" w:type="dxa"/>
            <w:shd w:val="clear" w:color="auto" w:fill="auto"/>
            <w:noWrap/>
            <w:vAlign w:val="center"/>
          </w:tcPr>
          <w:p>
            <w:pPr>
              <w:spacing w:line="240" w:lineRule="auto"/>
            </w:pPr>
            <w:r>
              <w:rPr>
                <w:rFonts w:hint="eastAsia"/>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3</w:t>
            </w:r>
          </w:p>
        </w:tc>
        <w:tc>
          <w:tcPr>
            <w:tcW w:w="1694" w:type="dxa"/>
            <w:shd w:val="clear" w:color="auto" w:fill="auto"/>
            <w:noWrap/>
            <w:vAlign w:val="center"/>
          </w:tcPr>
          <w:p>
            <w:pPr>
              <w:spacing w:line="240" w:lineRule="auto"/>
            </w:pPr>
            <w:r>
              <w:rPr>
                <w:rFonts w:hint="eastAsia"/>
              </w:rPr>
              <w:t>机械泄压口</w:t>
            </w:r>
          </w:p>
        </w:tc>
        <w:tc>
          <w:tcPr>
            <w:tcW w:w="5673" w:type="dxa"/>
            <w:shd w:val="clear" w:color="auto" w:fill="auto"/>
            <w:noWrap/>
            <w:vAlign w:val="center"/>
          </w:tcPr>
          <w:p>
            <w:pPr>
              <w:spacing w:line="240" w:lineRule="auto"/>
            </w:pPr>
            <w:r>
              <w:rPr>
                <w:rFonts w:hint="eastAsia"/>
              </w:rPr>
              <w:t>QXYK-0.12-1200</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4</w:t>
            </w:r>
          </w:p>
        </w:tc>
        <w:tc>
          <w:tcPr>
            <w:tcW w:w="1694" w:type="dxa"/>
            <w:shd w:val="clear" w:color="auto" w:fill="auto"/>
            <w:noWrap/>
            <w:vAlign w:val="center"/>
          </w:tcPr>
          <w:p>
            <w:pPr>
              <w:spacing w:line="240" w:lineRule="auto"/>
            </w:pPr>
            <w:r>
              <w:rPr>
                <w:rFonts w:hint="eastAsia"/>
              </w:rPr>
              <w:t>气体灭火控制器（1区）</w:t>
            </w:r>
          </w:p>
        </w:tc>
        <w:tc>
          <w:tcPr>
            <w:tcW w:w="5673" w:type="dxa"/>
            <w:shd w:val="clear" w:color="auto" w:fill="auto"/>
            <w:noWrap/>
            <w:vAlign w:val="center"/>
          </w:tcPr>
          <w:p>
            <w:pPr>
              <w:spacing w:line="240" w:lineRule="auto"/>
            </w:pPr>
            <w:r>
              <w:rPr>
                <w:rFonts w:hint="eastAsia"/>
              </w:rPr>
              <w:t>GST-QKP01H</w:t>
            </w:r>
          </w:p>
        </w:tc>
        <w:tc>
          <w:tcPr>
            <w:tcW w:w="850" w:type="dxa"/>
            <w:shd w:val="clear" w:color="auto" w:fill="auto"/>
            <w:noWrap/>
            <w:vAlign w:val="center"/>
          </w:tcPr>
          <w:p>
            <w:pPr>
              <w:spacing w:line="240" w:lineRule="auto"/>
            </w:pPr>
            <w:r>
              <w:rPr>
                <w:rFonts w:hint="eastAsia"/>
              </w:rPr>
              <w:t>台</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5</w:t>
            </w:r>
          </w:p>
        </w:tc>
        <w:tc>
          <w:tcPr>
            <w:tcW w:w="1694" w:type="dxa"/>
            <w:shd w:val="clear" w:color="auto" w:fill="auto"/>
            <w:noWrap/>
            <w:vAlign w:val="center"/>
          </w:tcPr>
          <w:p>
            <w:pPr>
              <w:spacing w:line="240" w:lineRule="auto"/>
            </w:pPr>
            <w:r>
              <w:rPr>
                <w:rFonts w:hint="eastAsia"/>
              </w:rPr>
              <w:t>手/自动转换盒</w:t>
            </w:r>
          </w:p>
        </w:tc>
        <w:tc>
          <w:tcPr>
            <w:tcW w:w="5673" w:type="dxa"/>
            <w:shd w:val="clear" w:color="auto" w:fill="auto"/>
            <w:noWrap/>
            <w:vAlign w:val="center"/>
          </w:tcPr>
          <w:p>
            <w:pPr>
              <w:spacing w:line="240" w:lineRule="auto"/>
            </w:pPr>
            <w:r>
              <w:rPr>
                <w:rFonts w:hint="eastAsia"/>
              </w:rPr>
              <w:t>GST-LD-8316H</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6</w:t>
            </w:r>
          </w:p>
        </w:tc>
        <w:tc>
          <w:tcPr>
            <w:tcW w:w="1694" w:type="dxa"/>
            <w:shd w:val="clear" w:color="auto" w:fill="auto"/>
            <w:noWrap/>
            <w:vAlign w:val="center"/>
          </w:tcPr>
          <w:p>
            <w:pPr>
              <w:spacing w:line="240" w:lineRule="auto"/>
            </w:pPr>
            <w:r>
              <w:rPr>
                <w:rFonts w:hint="eastAsia"/>
              </w:rPr>
              <w:t>气体释放警报器</w:t>
            </w:r>
          </w:p>
        </w:tc>
        <w:tc>
          <w:tcPr>
            <w:tcW w:w="5673" w:type="dxa"/>
            <w:shd w:val="clear" w:color="auto" w:fill="auto"/>
            <w:noWrap/>
            <w:vAlign w:val="center"/>
          </w:tcPr>
          <w:p>
            <w:pPr>
              <w:spacing w:line="240" w:lineRule="auto"/>
            </w:pPr>
            <w:r>
              <w:rPr>
                <w:rFonts w:hint="eastAsia"/>
              </w:rPr>
              <w:t>GST-LD-8317H</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7</w:t>
            </w:r>
          </w:p>
        </w:tc>
        <w:tc>
          <w:tcPr>
            <w:tcW w:w="1694" w:type="dxa"/>
            <w:shd w:val="clear" w:color="auto" w:fill="auto"/>
            <w:noWrap/>
            <w:vAlign w:val="center"/>
          </w:tcPr>
          <w:p>
            <w:pPr>
              <w:spacing w:line="240" w:lineRule="auto"/>
            </w:pPr>
            <w:r>
              <w:rPr>
                <w:rFonts w:hint="eastAsia"/>
              </w:rPr>
              <w:t>紧急启/停按钮</w:t>
            </w:r>
          </w:p>
        </w:tc>
        <w:tc>
          <w:tcPr>
            <w:tcW w:w="5673" w:type="dxa"/>
            <w:shd w:val="clear" w:color="auto" w:fill="auto"/>
            <w:noWrap/>
            <w:vAlign w:val="center"/>
          </w:tcPr>
          <w:p>
            <w:pPr>
              <w:spacing w:line="240" w:lineRule="auto"/>
            </w:pPr>
            <w:r>
              <w:rPr>
                <w:rFonts w:hint="eastAsia"/>
              </w:rPr>
              <w:t>GST-LD-8318</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8</w:t>
            </w:r>
          </w:p>
        </w:tc>
        <w:tc>
          <w:tcPr>
            <w:tcW w:w="1694" w:type="dxa"/>
            <w:shd w:val="clear" w:color="auto" w:fill="auto"/>
            <w:noWrap/>
            <w:vAlign w:val="center"/>
          </w:tcPr>
          <w:p>
            <w:pPr>
              <w:spacing w:line="240" w:lineRule="auto"/>
            </w:pPr>
            <w:r>
              <w:rPr>
                <w:rFonts w:hint="eastAsia"/>
              </w:rPr>
              <w:t>火灾声光警报器</w:t>
            </w:r>
          </w:p>
        </w:tc>
        <w:tc>
          <w:tcPr>
            <w:tcW w:w="5673" w:type="dxa"/>
            <w:shd w:val="clear" w:color="auto" w:fill="auto"/>
            <w:noWrap/>
            <w:vAlign w:val="center"/>
          </w:tcPr>
          <w:p>
            <w:pPr>
              <w:spacing w:line="240" w:lineRule="auto"/>
            </w:pPr>
            <w:r>
              <w:rPr>
                <w:rFonts w:hint="eastAsia"/>
              </w:rPr>
              <w:t>HY6711</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9</w:t>
            </w:r>
          </w:p>
        </w:tc>
        <w:tc>
          <w:tcPr>
            <w:tcW w:w="1694" w:type="dxa"/>
            <w:shd w:val="clear" w:color="auto" w:fill="auto"/>
            <w:noWrap/>
            <w:vAlign w:val="center"/>
          </w:tcPr>
          <w:p>
            <w:pPr>
              <w:spacing w:line="240" w:lineRule="auto"/>
            </w:pPr>
            <w:r>
              <w:rPr>
                <w:rFonts w:hint="eastAsia"/>
              </w:rPr>
              <w:t>输入/输出模块</w:t>
            </w:r>
          </w:p>
        </w:tc>
        <w:tc>
          <w:tcPr>
            <w:tcW w:w="5673" w:type="dxa"/>
            <w:shd w:val="clear" w:color="auto" w:fill="auto"/>
            <w:noWrap/>
            <w:vAlign w:val="center"/>
          </w:tcPr>
          <w:p>
            <w:pPr>
              <w:spacing w:line="240" w:lineRule="auto"/>
            </w:pPr>
            <w:r>
              <w:rPr>
                <w:rFonts w:hint="eastAsia"/>
              </w:rPr>
              <w:t>GST-LD-8301A</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10</w:t>
            </w:r>
          </w:p>
        </w:tc>
        <w:tc>
          <w:tcPr>
            <w:tcW w:w="1694" w:type="dxa"/>
            <w:shd w:val="clear" w:color="auto" w:fill="auto"/>
            <w:noWrap/>
            <w:vAlign w:val="center"/>
          </w:tcPr>
          <w:p>
            <w:pPr>
              <w:spacing w:line="240" w:lineRule="auto"/>
            </w:pPr>
            <w:r>
              <w:rPr>
                <w:rFonts w:hint="eastAsia"/>
              </w:rPr>
              <w:t>点型光电感烟火灾探测器（含底座）</w:t>
            </w:r>
          </w:p>
        </w:tc>
        <w:tc>
          <w:tcPr>
            <w:tcW w:w="5673" w:type="dxa"/>
            <w:shd w:val="clear" w:color="auto" w:fill="auto"/>
            <w:noWrap/>
            <w:vAlign w:val="center"/>
          </w:tcPr>
          <w:p>
            <w:pPr>
              <w:spacing w:line="240" w:lineRule="auto"/>
            </w:pPr>
            <w:r>
              <w:rPr>
                <w:rFonts w:hint="eastAsia"/>
              </w:rPr>
              <w:t>JTY-GD-G5T</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11</w:t>
            </w:r>
          </w:p>
        </w:tc>
        <w:tc>
          <w:tcPr>
            <w:tcW w:w="1694" w:type="dxa"/>
            <w:shd w:val="clear" w:color="auto" w:fill="auto"/>
            <w:noWrap/>
            <w:vAlign w:val="center"/>
          </w:tcPr>
          <w:p>
            <w:pPr>
              <w:spacing w:line="240" w:lineRule="auto"/>
            </w:pPr>
            <w:r>
              <w:rPr>
                <w:rFonts w:hint="eastAsia"/>
              </w:rPr>
              <w:t>点型感温火灾探测器（含底座）</w:t>
            </w:r>
          </w:p>
        </w:tc>
        <w:tc>
          <w:tcPr>
            <w:tcW w:w="5673" w:type="dxa"/>
            <w:shd w:val="clear" w:color="auto" w:fill="auto"/>
            <w:noWrap/>
            <w:vAlign w:val="center"/>
          </w:tcPr>
          <w:p>
            <w:pPr>
              <w:spacing w:line="240" w:lineRule="auto"/>
            </w:pPr>
            <w:r>
              <w:rPr>
                <w:rFonts w:hint="eastAsia"/>
              </w:rPr>
              <w:t>JTW-ZCD-G5H</w:t>
            </w:r>
          </w:p>
        </w:tc>
        <w:tc>
          <w:tcPr>
            <w:tcW w:w="850" w:type="dxa"/>
            <w:shd w:val="clear" w:color="auto" w:fill="auto"/>
            <w:noWrap/>
            <w:vAlign w:val="center"/>
          </w:tcPr>
          <w:p>
            <w:pPr>
              <w:spacing w:line="240" w:lineRule="auto"/>
            </w:pPr>
            <w:r>
              <w:rPr>
                <w:rFonts w:hint="eastAsia"/>
              </w:rPr>
              <w:t>个</w:t>
            </w:r>
          </w:p>
        </w:tc>
        <w:tc>
          <w:tcPr>
            <w:tcW w:w="851" w:type="dxa"/>
            <w:shd w:val="clear" w:color="auto" w:fill="auto"/>
            <w:noWrap/>
            <w:vAlign w:val="center"/>
          </w:tcPr>
          <w:p>
            <w:pPr>
              <w:spacing w:line="240" w:lineRule="auto"/>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12</w:t>
            </w:r>
          </w:p>
        </w:tc>
        <w:tc>
          <w:tcPr>
            <w:tcW w:w="1694" w:type="dxa"/>
            <w:shd w:val="clear" w:color="auto" w:fill="auto"/>
            <w:noWrap/>
            <w:vAlign w:val="center"/>
          </w:tcPr>
          <w:p>
            <w:pPr>
              <w:spacing w:line="240" w:lineRule="auto"/>
            </w:pPr>
            <w:r>
              <w:rPr>
                <w:rFonts w:hint="eastAsia"/>
              </w:rPr>
              <w:t>消防线材</w:t>
            </w:r>
          </w:p>
        </w:tc>
        <w:tc>
          <w:tcPr>
            <w:tcW w:w="5673" w:type="dxa"/>
            <w:shd w:val="clear" w:color="auto" w:fill="auto"/>
            <w:noWrap/>
            <w:vAlign w:val="center"/>
          </w:tcPr>
          <w:p>
            <w:pPr>
              <w:spacing w:line="240" w:lineRule="auto"/>
            </w:pPr>
            <w:r>
              <w:rPr>
                <w:rFonts w:hint="eastAsia"/>
              </w:rPr>
              <w:t>信号线及供电线</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13</w:t>
            </w:r>
          </w:p>
        </w:tc>
        <w:tc>
          <w:tcPr>
            <w:tcW w:w="1694" w:type="dxa"/>
            <w:shd w:val="clear" w:color="auto" w:fill="auto"/>
            <w:noWrap/>
            <w:vAlign w:val="center"/>
          </w:tcPr>
          <w:p>
            <w:pPr>
              <w:spacing w:line="240" w:lineRule="auto"/>
            </w:pPr>
            <w:r>
              <w:rPr>
                <w:rFonts w:hint="eastAsia"/>
              </w:rPr>
              <w:t>辅材</w:t>
            </w:r>
          </w:p>
        </w:tc>
        <w:tc>
          <w:tcPr>
            <w:tcW w:w="5673" w:type="dxa"/>
            <w:shd w:val="clear" w:color="auto" w:fill="auto"/>
            <w:noWrap/>
            <w:vAlign w:val="center"/>
          </w:tcPr>
          <w:p>
            <w:pPr>
              <w:spacing w:line="240" w:lineRule="auto"/>
            </w:pPr>
            <w:r>
              <w:rPr>
                <w:rFonts w:hint="eastAsia"/>
              </w:rPr>
              <w:t>　</w:t>
            </w: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0" w:type="dxa"/>
            <w:shd w:val="clear" w:color="auto" w:fill="auto"/>
            <w:noWrap/>
            <w:vAlign w:val="center"/>
          </w:tcPr>
          <w:p>
            <w:pPr>
              <w:spacing w:line="240" w:lineRule="auto"/>
            </w:pPr>
            <w:r>
              <w:rPr>
                <w:rFonts w:hint="eastAsia"/>
              </w:rPr>
              <w:t>14</w:t>
            </w:r>
          </w:p>
        </w:tc>
        <w:tc>
          <w:tcPr>
            <w:tcW w:w="1694" w:type="dxa"/>
            <w:shd w:val="clear" w:color="auto" w:fill="auto"/>
            <w:noWrap/>
            <w:vAlign w:val="center"/>
          </w:tcPr>
          <w:p>
            <w:pPr>
              <w:spacing w:line="240" w:lineRule="auto"/>
            </w:pPr>
            <w:r>
              <w:rPr>
                <w:rFonts w:hint="eastAsia"/>
              </w:rPr>
              <w:t>实施安装费</w:t>
            </w:r>
          </w:p>
        </w:tc>
        <w:tc>
          <w:tcPr>
            <w:tcW w:w="5673" w:type="dxa"/>
            <w:shd w:val="clear" w:color="auto" w:fill="auto"/>
            <w:noWrap/>
            <w:vAlign w:val="center"/>
          </w:tcPr>
          <w:p>
            <w:pPr>
              <w:spacing w:line="240" w:lineRule="auto"/>
            </w:pPr>
          </w:p>
        </w:tc>
        <w:tc>
          <w:tcPr>
            <w:tcW w:w="850" w:type="dxa"/>
            <w:shd w:val="clear" w:color="auto" w:fill="auto"/>
            <w:noWrap/>
            <w:vAlign w:val="center"/>
          </w:tcPr>
          <w:p>
            <w:pPr>
              <w:spacing w:line="240" w:lineRule="auto"/>
            </w:pPr>
            <w:r>
              <w:rPr>
                <w:rFonts w:hint="eastAsia"/>
              </w:rPr>
              <w:t>项</w:t>
            </w:r>
          </w:p>
        </w:tc>
        <w:tc>
          <w:tcPr>
            <w:tcW w:w="851" w:type="dxa"/>
            <w:shd w:val="clear" w:color="auto" w:fill="auto"/>
            <w:noWrap/>
            <w:vAlign w:val="center"/>
          </w:tcPr>
          <w:p>
            <w:pPr>
              <w:spacing w:line="240" w:lineRule="auto"/>
            </w:pPr>
            <w:r>
              <w:rPr>
                <w:rFonts w:hint="eastAsia"/>
              </w:rPr>
              <w:t>1</w:t>
            </w:r>
          </w:p>
        </w:tc>
      </w:tr>
    </w:tbl>
    <w:p/>
    <w:p/>
    <w:p/>
    <w:sectPr>
      <w:headerReference r:id="rId5" w:type="default"/>
      <w:footerReference r:id="rId6" w:type="default"/>
      <w:pgSz w:w="11906" w:h="16838"/>
      <w:pgMar w:top="1089" w:right="1077" w:bottom="1089" w:left="1191"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1"/>
      </w:rPr>
    </w:pPr>
    <w:r>
      <w:fldChar w:fldCharType="begin"/>
    </w:r>
    <w:r>
      <w:rPr>
        <w:rStyle w:val="21"/>
      </w:rPr>
      <w:instrText xml:space="preserve">PAGE  </w:instrText>
    </w:r>
    <w:r>
      <w:fldChar w:fldCharType="separate"/>
    </w:r>
    <w:r>
      <w:rPr>
        <w:rStyle w:val="21"/>
      </w:rPr>
      <w:t>114</w:t>
    </w:r>
    <w:r>
      <w:fldChar w:fldCharType="end"/>
    </w:r>
  </w:p>
  <w:p>
    <w:pPr>
      <w:pStyle w:val="1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0670F7"/>
    <w:multiLevelType w:val="multilevel"/>
    <w:tmpl w:val="250670F7"/>
    <w:lvl w:ilvl="0" w:tentative="0">
      <w:start w:val="1"/>
      <w:numFmt w:val="chineseCounting"/>
      <w:pStyle w:val="2"/>
      <w:suff w:val="nothing"/>
      <w:lvlText w:val="%1、"/>
      <w:lvlJc w:val="left"/>
      <w:pPr>
        <w:tabs>
          <w:tab w:val="left" w:pos="0"/>
        </w:tabs>
        <w:ind w:left="432" w:hanging="432"/>
      </w:pPr>
      <w:rPr>
        <w:rFonts w:hint="eastAsia"/>
      </w:rPr>
    </w:lvl>
    <w:lvl w:ilvl="1" w:tentative="0">
      <w:start w:val="1"/>
      <w:numFmt w:val="decimal"/>
      <w:pStyle w:val="5"/>
      <w:isLgl/>
      <w:lvlText w:val="%1.%2 "/>
      <w:lvlJc w:val="left"/>
      <w:pPr>
        <w:tabs>
          <w:tab w:val="left" w:pos="420"/>
        </w:tabs>
        <w:ind w:left="575" w:hanging="575"/>
      </w:pPr>
      <w:rPr>
        <w:rFonts w:hint="eastAsia"/>
      </w:rPr>
    </w:lvl>
    <w:lvl w:ilvl="2" w:tentative="0">
      <w:start w:val="1"/>
      <w:numFmt w:val="decimal"/>
      <w:pStyle w:val="6"/>
      <w:isLgl/>
      <w:lvlText w:val="%1.%2.%3 "/>
      <w:lvlJc w:val="left"/>
      <w:pPr>
        <w:ind w:left="720" w:hanging="720"/>
      </w:pPr>
      <w:rPr>
        <w:rFonts w:hint="eastAsia"/>
      </w:rPr>
    </w:lvl>
    <w:lvl w:ilvl="3" w:tentative="0">
      <w:start w:val="1"/>
      <w:numFmt w:val="decimal"/>
      <w:pStyle w:val="7"/>
      <w:isLgl/>
      <w:lvlText w:val="%1.%2.%3.%4 "/>
      <w:lvlJc w:val="left"/>
      <w:pPr>
        <w:ind w:left="864" w:hanging="864"/>
      </w:pPr>
      <w:rPr>
        <w:rFonts w:hint="eastAsia"/>
      </w:rPr>
    </w:lvl>
    <w:lvl w:ilvl="4" w:tentative="0">
      <w:start w:val="1"/>
      <w:numFmt w:val="decimal"/>
      <w:pStyle w:val="8"/>
      <w:isLgl/>
      <w:lvlText w:val="%1.%2.%3.%4.%5 "/>
      <w:lvlJc w:val="left"/>
      <w:pPr>
        <w:ind w:left="1008" w:hanging="1008"/>
      </w:pPr>
      <w:rPr>
        <w:rFonts w:hint="eastAsia"/>
      </w:rPr>
    </w:lvl>
    <w:lvl w:ilvl="5" w:tentative="0">
      <w:start w:val="1"/>
      <w:numFmt w:val="decimal"/>
      <w:pStyle w:val="9"/>
      <w:isLgl/>
      <w:lvlText w:val="%1.%2.%3.%4.%5.%6."/>
      <w:lvlJc w:val="left"/>
      <w:pPr>
        <w:ind w:left="1151" w:hanging="1151"/>
      </w:pPr>
      <w:rPr>
        <w:rFonts w:hint="eastAsia"/>
      </w:rPr>
    </w:lvl>
    <w:lvl w:ilvl="6" w:tentative="0">
      <w:start w:val="1"/>
      <w:numFmt w:val="decimal"/>
      <w:pStyle w:val="10"/>
      <w:isLgl/>
      <w:lvlText w:val="%1.%2.%3.%4.%5.%6.%7."/>
      <w:lvlJc w:val="left"/>
      <w:pPr>
        <w:ind w:left="1296" w:hanging="1296"/>
      </w:pPr>
      <w:rPr>
        <w:rFonts w:hint="eastAsia"/>
      </w:rPr>
    </w:lvl>
    <w:lvl w:ilvl="7" w:tentative="0">
      <w:start w:val="1"/>
      <w:numFmt w:val="decimal"/>
      <w:pStyle w:val="11"/>
      <w:isLgl/>
      <w:lvlText w:val="%1.%2.%3.%4.%5.%6.%7.%8."/>
      <w:lvlJc w:val="left"/>
      <w:pPr>
        <w:ind w:left="1440" w:hanging="1440"/>
      </w:pPr>
      <w:rPr>
        <w:rFonts w:hint="eastAsia"/>
      </w:rPr>
    </w:lvl>
    <w:lvl w:ilvl="8" w:tentative="0">
      <w:start w:val="1"/>
      <w:numFmt w:val="decimal"/>
      <w:pStyle w:val="12"/>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s>
  <w:rsids>
    <w:rsidRoot w:val="003D5881"/>
    <w:rsid w:val="00002773"/>
    <w:rsid w:val="000A2983"/>
    <w:rsid w:val="001400AC"/>
    <w:rsid w:val="00351FD4"/>
    <w:rsid w:val="00395D97"/>
    <w:rsid w:val="003D5881"/>
    <w:rsid w:val="005A4B1E"/>
    <w:rsid w:val="00662D5B"/>
    <w:rsid w:val="00665C2D"/>
    <w:rsid w:val="006F05CC"/>
    <w:rsid w:val="00734660"/>
    <w:rsid w:val="007D4863"/>
    <w:rsid w:val="008523A8"/>
    <w:rsid w:val="00AC6482"/>
    <w:rsid w:val="00AF4D15"/>
    <w:rsid w:val="00B72582"/>
    <w:rsid w:val="00BB562D"/>
    <w:rsid w:val="00D40407"/>
    <w:rsid w:val="00E56083"/>
    <w:rsid w:val="00F26AAC"/>
    <w:rsid w:val="00F41044"/>
    <w:rsid w:val="00FE7FB9"/>
    <w:rsid w:val="02343473"/>
    <w:rsid w:val="031D08C8"/>
    <w:rsid w:val="0362415B"/>
    <w:rsid w:val="040050C7"/>
    <w:rsid w:val="0457669C"/>
    <w:rsid w:val="062E1E38"/>
    <w:rsid w:val="067173E7"/>
    <w:rsid w:val="07612C2A"/>
    <w:rsid w:val="07D71447"/>
    <w:rsid w:val="07FA22FA"/>
    <w:rsid w:val="08473533"/>
    <w:rsid w:val="08BD31FC"/>
    <w:rsid w:val="08E745A8"/>
    <w:rsid w:val="0A012DF6"/>
    <w:rsid w:val="0A2D2F9C"/>
    <w:rsid w:val="0A5B101A"/>
    <w:rsid w:val="0B934E4E"/>
    <w:rsid w:val="0BC35D03"/>
    <w:rsid w:val="0C836DD2"/>
    <w:rsid w:val="0DA679B0"/>
    <w:rsid w:val="0E290C9B"/>
    <w:rsid w:val="0E655EEA"/>
    <w:rsid w:val="0F75052E"/>
    <w:rsid w:val="110E72C4"/>
    <w:rsid w:val="11C256CC"/>
    <w:rsid w:val="121206A7"/>
    <w:rsid w:val="12C963A2"/>
    <w:rsid w:val="13892FD3"/>
    <w:rsid w:val="15A90642"/>
    <w:rsid w:val="15C65D00"/>
    <w:rsid w:val="16F56C5C"/>
    <w:rsid w:val="17A10D54"/>
    <w:rsid w:val="18006FD6"/>
    <w:rsid w:val="1847434B"/>
    <w:rsid w:val="18973222"/>
    <w:rsid w:val="18A575F7"/>
    <w:rsid w:val="18DB5458"/>
    <w:rsid w:val="19387C86"/>
    <w:rsid w:val="1A433816"/>
    <w:rsid w:val="1A5833BE"/>
    <w:rsid w:val="1ABB296F"/>
    <w:rsid w:val="1AC1089F"/>
    <w:rsid w:val="1B436185"/>
    <w:rsid w:val="1B51032F"/>
    <w:rsid w:val="1BA7411E"/>
    <w:rsid w:val="1CAA4485"/>
    <w:rsid w:val="1CC3102C"/>
    <w:rsid w:val="1CD22BE2"/>
    <w:rsid w:val="1DB213C3"/>
    <w:rsid w:val="1E383FD6"/>
    <w:rsid w:val="1E736215"/>
    <w:rsid w:val="1FAF723A"/>
    <w:rsid w:val="20076707"/>
    <w:rsid w:val="20437D4F"/>
    <w:rsid w:val="20677B04"/>
    <w:rsid w:val="20B541ED"/>
    <w:rsid w:val="215670FD"/>
    <w:rsid w:val="21A80B0A"/>
    <w:rsid w:val="21F86CB8"/>
    <w:rsid w:val="23582238"/>
    <w:rsid w:val="237A1A5A"/>
    <w:rsid w:val="23840B09"/>
    <w:rsid w:val="239475A2"/>
    <w:rsid w:val="23E30B60"/>
    <w:rsid w:val="23FD4A79"/>
    <w:rsid w:val="25062622"/>
    <w:rsid w:val="26357C32"/>
    <w:rsid w:val="26936868"/>
    <w:rsid w:val="269B71FB"/>
    <w:rsid w:val="27A83290"/>
    <w:rsid w:val="27EB7914"/>
    <w:rsid w:val="28FE27D5"/>
    <w:rsid w:val="29430F3E"/>
    <w:rsid w:val="2A020849"/>
    <w:rsid w:val="2A455FF8"/>
    <w:rsid w:val="2A5A227D"/>
    <w:rsid w:val="2AA51818"/>
    <w:rsid w:val="2AD35BDF"/>
    <w:rsid w:val="2B1016ED"/>
    <w:rsid w:val="2D18455E"/>
    <w:rsid w:val="2D962685"/>
    <w:rsid w:val="2DE12753"/>
    <w:rsid w:val="2E204D3E"/>
    <w:rsid w:val="2EA850C9"/>
    <w:rsid w:val="2EF63645"/>
    <w:rsid w:val="2F212704"/>
    <w:rsid w:val="2F875324"/>
    <w:rsid w:val="314E2F9F"/>
    <w:rsid w:val="32290A1C"/>
    <w:rsid w:val="3244331F"/>
    <w:rsid w:val="33E53099"/>
    <w:rsid w:val="345E4EDA"/>
    <w:rsid w:val="346170EB"/>
    <w:rsid w:val="34916D5E"/>
    <w:rsid w:val="34AA2915"/>
    <w:rsid w:val="356B5D23"/>
    <w:rsid w:val="356E72AB"/>
    <w:rsid w:val="35705B17"/>
    <w:rsid w:val="35D329DC"/>
    <w:rsid w:val="364C4E22"/>
    <w:rsid w:val="36F756A5"/>
    <w:rsid w:val="373B7629"/>
    <w:rsid w:val="3781360B"/>
    <w:rsid w:val="380A322A"/>
    <w:rsid w:val="383C113C"/>
    <w:rsid w:val="386D226A"/>
    <w:rsid w:val="391E5F5F"/>
    <w:rsid w:val="39D011F9"/>
    <w:rsid w:val="3A906C44"/>
    <w:rsid w:val="3AD07E3B"/>
    <w:rsid w:val="3AE65A9A"/>
    <w:rsid w:val="3B081BDD"/>
    <w:rsid w:val="3B6F19D9"/>
    <w:rsid w:val="3BE02D49"/>
    <w:rsid w:val="3C193FF2"/>
    <w:rsid w:val="3C792FAF"/>
    <w:rsid w:val="3CA66235"/>
    <w:rsid w:val="3DEC26E0"/>
    <w:rsid w:val="3E9050D5"/>
    <w:rsid w:val="3EF525AD"/>
    <w:rsid w:val="3F1A2BCD"/>
    <w:rsid w:val="3F8D5659"/>
    <w:rsid w:val="40603666"/>
    <w:rsid w:val="40EA31A1"/>
    <w:rsid w:val="4155413F"/>
    <w:rsid w:val="41DE0C05"/>
    <w:rsid w:val="42043849"/>
    <w:rsid w:val="42191E43"/>
    <w:rsid w:val="42246F69"/>
    <w:rsid w:val="42937ADB"/>
    <w:rsid w:val="430D73BE"/>
    <w:rsid w:val="437402A0"/>
    <w:rsid w:val="44BD1702"/>
    <w:rsid w:val="451A120C"/>
    <w:rsid w:val="452E4FB4"/>
    <w:rsid w:val="4533705E"/>
    <w:rsid w:val="45C77069"/>
    <w:rsid w:val="462073FE"/>
    <w:rsid w:val="4693720F"/>
    <w:rsid w:val="478A4570"/>
    <w:rsid w:val="48FA7F3A"/>
    <w:rsid w:val="496C56C3"/>
    <w:rsid w:val="4B582D83"/>
    <w:rsid w:val="4BA15788"/>
    <w:rsid w:val="4C820C46"/>
    <w:rsid w:val="4D20552D"/>
    <w:rsid w:val="4DAD19F9"/>
    <w:rsid w:val="4DAE7CEA"/>
    <w:rsid w:val="4DC425BC"/>
    <w:rsid w:val="4FC92387"/>
    <w:rsid w:val="50DF0C47"/>
    <w:rsid w:val="514E4078"/>
    <w:rsid w:val="51F31621"/>
    <w:rsid w:val="52FC7EE8"/>
    <w:rsid w:val="53101C39"/>
    <w:rsid w:val="53211655"/>
    <w:rsid w:val="536D58E7"/>
    <w:rsid w:val="557F694D"/>
    <w:rsid w:val="56E70906"/>
    <w:rsid w:val="57276C06"/>
    <w:rsid w:val="59D60077"/>
    <w:rsid w:val="59DD1E83"/>
    <w:rsid w:val="5B5215AC"/>
    <w:rsid w:val="5B6E1C35"/>
    <w:rsid w:val="5BB7654E"/>
    <w:rsid w:val="5C6526B4"/>
    <w:rsid w:val="5CA37E4F"/>
    <w:rsid w:val="5D4B2D1B"/>
    <w:rsid w:val="5E1C432A"/>
    <w:rsid w:val="5E203927"/>
    <w:rsid w:val="5E2107AB"/>
    <w:rsid w:val="5E2A4056"/>
    <w:rsid w:val="5EB554A4"/>
    <w:rsid w:val="5F2660D0"/>
    <w:rsid w:val="609303FD"/>
    <w:rsid w:val="61A40B84"/>
    <w:rsid w:val="623D2261"/>
    <w:rsid w:val="63FD2E7C"/>
    <w:rsid w:val="64010B8C"/>
    <w:rsid w:val="648C55D4"/>
    <w:rsid w:val="64A30647"/>
    <w:rsid w:val="65751933"/>
    <w:rsid w:val="65FD2C93"/>
    <w:rsid w:val="662343DC"/>
    <w:rsid w:val="664A1701"/>
    <w:rsid w:val="67323F8D"/>
    <w:rsid w:val="68A62128"/>
    <w:rsid w:val="68CC2F37"/>
    <w:rsid w:val="69A96A6D"/>
    <w:rsid w:val="69C75445"/>
    <w:rsid w:val="69DD72DF"/>
    <w:rsid w:val="6A9F5A7D"/>
    <w:rsid w:val="6AE15B0D"/>
    <w:rsid w:val="6B412839"/>
    <w:rsid w:val="6B4A0E8F"/>
    <w:rsid w:val="6B8A321E"/>
    <w:rsid w:val="6C5B69BA"/>
    <w:rsid w:val="6CD4668C"/>
    <w:rsid w:val="6D524754"/>
    <w:rsid w:val="6DE1286B"/>
    <w:rsid w:val="6E650622"/>
    <w:rsid w:val="6ECB3488"/>
    <w:rsid w:val="6F6D4110"/>
    <w:rsid w:val="6FB11BBE"/>
    <w:rsid w:val="6FB67594"/>
    <w:rsid w:val="70652935"/>
    <w:rsid w:val="70B312E0"/>
    <w:rsid w:val="71765265"/>
    <w:rsid w:val="742F2BB2"/>
    <w:rsid w:val="75071117"/>
    <w:rsid w:val="75432CCF"/>
    <w:rsid w:val="765D3A06"/>
    <w:rsid w:val="767E0FCD"/>
    <w:rsid w:val="76EB0092"/>
    <w:rsid w:val="776A1A51"/>
    <w:rsid w:val="7783465F"/>
    <w:rsid w:val="77F21374"/>
    <w:rsid w:val="78F025D1"/>
    <w:rsid w:val="7B223D6B"/>
    <w:rsid w:val="7B2C33A2"/>
    <w:rsid w:val="7BE61CEC"/>
    <w:rsid w:val="7C1C18F0"/>
    <w:rsid w:val="7D3D2155"/>
    <w:rsid w:val="7D8C6639"/>
    <w:rsid w:val="7DCC6CD8"/>
    <w:rsid w:val="7E4772C2"/>
    <w:rsid w:val="7ED47189"/>
    <w:rsid w:val="7F0D3CA5"/>
    <w:rsid w:val="7F250B2B"/>
    <w:rsid w:val="7FA37D78"/>
    <w:rsid w:val="7FE75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Times New Roman" w:eastAsia="宋体" w:cs="Times New Roman"/>
      <w:sz w:val="21"/>
      <w:lang w:val="en-US" w:eastAsia="zh-CN" w:bidi="ar-SA"/>
    </w:rPr>
  </w:style>
  <w:style w:type="paragraph" w:styleId="2">
    <w:name w:val="heading 1"/>
    <w:basedOn w:val="1"/>
    <w:next w:val="3"/>
    <w:link w:val="24"/>
    <w:qFormat/>
    <w:uiPriority w:val="0"/>
    <w:pPr>
      <w:keepNext/>
      <w:keepLines/>
      <w:numPr>
        <w:ilvl w:val="0"/>
        <w:numId w:val="1"/>
      </w:numPr>
      <w:spacing w:before="50" w:beforeLines="50" w:after="50" w:afterLines="50"/>
      <w:ind w:left="431" w:hanging="431"/>
      <w:outlineLvl w:val="0"/>
    </w:pPr>
    <w:rPr>
      <w:rFonts w:ascii="Calibri" w:hAnsi="Calibri"/>
      <w:b/>
      <w:kern w:val="44"/>
      <w:sz w:val="30"/>
      <w:szCs w:val="24"/>
    </w:rPr>
  </w:style>
  <w:style w:type="paragraph" w:styleId="5">
    <w:name w:val="heading 2"/>
    <w:basedOn w:val="1"/>
    <w:next w:val="1"/>
    <w:link w:val="25"/>
    <w:unhideWhenUsed/>
    <w:qFormat/>
    <w:uiPriority w:val="0"/>
    <w:pPr>
      <w:keepNext/>
      <w:keepLines/>
      <w:numPr>
        <w:ilvl w:val="1"/>
        <w:numId w:val="1"/>
      </w:numPr>
      <w:spacing w:before="50" w:beforeLines="50" w:after="50" w:afterLines="50"/>
      <w:ind w:left="573" w:hanging="573"/>
      <w:outlineLvl w:val="1"/>
    </w:pPr>
    <w:rPr>
      <w:rFonts w:ascii="宋体" w:hAnsi="宋体" w:cs="宋体"/>
      <w:b/>
      <w:bCs/>
      <w:kern w:val="2"/>
      <w:sz w:val="30"/>
      <w:szCs w:val="30"/>
    </w:rPr>
  </w:style>
  <w:style w:type="paragraph" w:styleId="6">
    <w:name w:val="heading 3"/>
    <w:basedOn w:val="1"/>
    <w:next w:val="1"/>
    <w:link w:val="26"/>
    <w:unhideWhenUsed/>
    <w:qFormat/>
    <w:uiPriority w:val="0"/>
    <w:pPr>
      <w:keepNext/>
      <w:keepLines/>
      <w:numPr>
        <w:ilvl w:val="2"/>
        <w:numId w:val="1"/>
      </w:numPr>
      <w:spacing w:before="50" w:beforeLines="50"/>
      <w:outlineLvl w:val="2"/>
    </w:pPr>
    <w:rPr>
      <w:rFonts w:ascii="宋体" w:hAnsi="宋体" w:cs="宋体"/>
      <w:b/>
      <w:bCs/>
      <w:kern w:val="2"/>
      <w:sz w:val="28"/>
      <w:szCs w:val="28"/>
    </w:rPr>
  </w:style>
  <w:style w:type="paragraph" w:styleId="7">
    <w:name w:val="heading 4"/>
    <w:basedOn w:val="1"/>
    <w:next w:val="1"/>
    <w:semiHidden/>
    <w:unhideWhenUsed/>
    <w:qFormat/>
    <w:uiPriority w:val="0"/>
    <w:pPr>
      <w:keepNext/>
      <w:keepLines/>
      <w:numPr>
        <w:ilvl w:val="3"/>
        <w:numId w:val="1"/>
      </w:numPr>
      <w:spacing w:before="280" w:after="290" w:line="372" w:lineRule="auto"/>
      <w:jc w:val="center"/>
      <w:outlineLvl w:val="3"/>
    </w:pPr>
    <w:rPr>
      <w:rFonts w:ascii="Arial" w:hAnsi="Arial" w:cstheme="minorBidi"/>
      <w:b/>
      <w:kern w:val="2"/>
      <w:sz w:val="28"/>
      <w:szCs w:val="24"/>
    </w:rPr>
  </w:style>
  <w:style w:type="paragraph" w:styleId="8">
    <w:name w:val="heading 5"/>
    <w:basedOn w:val="1"/>
    <w:next w:val="1"/>
    <w:semiHidden/>
    <w:unhideWhenUsed/>
    <w:qFormat/>
    <w:uiPriority w:val="0"/>
    <w:pPr>
      <w:keepNext/>
      <w:keepLines/>
      <w:numPr>
        <w:ilvl w:val="4"/>
        <w:numId w:val="1"/>
      </w:numPr>
      <w:spacing w:before="280" w:after="290" w:line="372" w:lineRule="auto"/>
      <w:outlineLvl w:val="4"/>
    </w:pPr>
    <w:rPr>
      <w:b/>
      <w:kern w:val="2"/>
      <w:sz w:val="24"/>
      <w:szCs w:val="24"/>
    </w:rPr>
  </w:style>
  <w:style w:type="paragraph" w:styleId="9">
    <w:name w:val="heading 6"/>
    <w:basedOn w:val="1"/>
    <w:next w:val="1"/>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10">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11">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qFormat/>
    <w:uiPriority w:val="0"/>
    <w:pPr>
      <w:ind w:firstLine="420" w:firstLineChars="200"/>
    </w:pPr>
  </w:style>
  <w:style w:type="paragraph" w:styleId="4">
    <w:name w:val="Body Text Indent"/>
    <w:basedOn w:val="1"/>
    <w:qFormat/>
    <w:uiPriority w:val="0"/>
    <w:pPr>
      <w:spacing w:after="120"/>
      <w:ind w:left="420" w:leftChars="200"/>
    </w:pPr>
  </w:style>
  <w:style w:type="paragraph" w:styleId="13">
    <w:name w:val="toa heading"/>
    <w:basedOn w:val="1"/>
    <w:next w:val="1"/>
    <w:qFormat/>
    <w:uiPriority w:val="0"/>
    <w:pPr>
      <w:spacing w:before="120"/>
    </w:pPr>
    <w:rPr>
      <w:rFonts w:ascii="Arial" w:hAnsi="Arial"/>
      <w:sz w:val="24"/>
    </w:rPr>
  </w:style>
  <w:style w:type="paragraph" w:styleId="14">
    <w:name w:val="Body Text"/>
    <w:basedOn w:val="1"/>
    <w:qFormat/>
    <w:uiPriority w:val="0"/>
  </w:style>
  <w:style w:type="paragraph" w:styleId="15">
    <w:name w:val="footer"/>
    <w:basedOn w:val="1"/>
    <w:link w:val="2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color w:val="000000" w:themeColor="text1"/>
      <w:kern w:val="2"/>
      <w:sz w:val="18"/>
      <w:szCs w:val="18"/>
      <w14:textFill>
        <w14:solidFill>
          <w14:schemeClr w14:val="tx1"/>
        </w14:solidFill>
      </w14:textFill>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rPr>
  </w:style>
  <w:style w:type="paragraph" w:styleId="17">
    <w:name w:val="toc 1"/>
    <w:basedOn w:val="1"/>
    <w:next w:val="1"/>
    <w:qFormat/>
    <w:uiPriority w:val="0"/>
    <w:rPr>
      <w:rFonts w:asciiTheme="minorHAnsi" w:hAnsiTheme="minorHAnsi" w:eastAsiaTheme="minorEastAsia" w:cstheme="minorBidi"/>
      <w:b/>
      <w:kern w:val="2"/>
      <w:sz w:val="24"/>
      <w:szCs w:val="24"/>
    </w:rPr>
  </w:style>
  <w:style w:type="paragraph" w:styleId="18">
    <w:name w:val="toc 2"/>
    <w:basedOn w:val="1"/>
    <w:next w:val="1"/>
    <w:qFormat/>
    <w:uiPriority w:val="0"/>
    <w:pPr>
      <w:spacing w:line="288" w:lineRule="auto"/>
      <w:ind w:left="420" w:leftChars="200"/>
    </w:pPr>
    <w:rPr>
      <w:rFonts w:asciiTheme="minorHAnsi" w:hAnsiTheme="minorHAnsi" w:eastAsiaTheme="minorEastAsia" w:cstheme="minorBidi"/>
      <w:kern w:val="2"/>
      <w:sz w:val="24"/>
      <w:szCs w:val="24"/>
    </w:rPr>
  </w:style>
  <w:style w:type="character" w:styleId="21">
    <w:name w:val="page number"/>
    <w:basedOn w:val="20"/>
    <w:qFormat/>
    <w:uiPriority w:val="0"/>
  </w:style>
  <w:style w:type="character" w:styleId="22">
    <w:name w:val="annotation reference"/>
    <w:qFormat/>
    <w:uiPriority w:val="0"/>
    <w:rPr>
      <w:sz w:val="21"/>
      <w:szCs w:val="21"/>
    </w:rPr>
  </w:style>
  <w:style w:type="character" w:customStyle="1" w:styleId="23">
    <w:name w:val="页脚 字符"/>
    <w:link w:val="15"/>
    <w:qFormat/>
    <w:uiPriority w:val="0"/>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style>
  <w:style w:type="character" w:customStyle="1" w:styleId="24">
    <w:name w:val="标题 1 字符"/>
    <w:basedOn w:val="20"/>
    <w:link w:val="2"/>
    <w:qFormat/>
    <w:uiPriority w:val="9"/>
    <w:rPr>
      <w:rFonts w:hint="eastAsia" w:ascii="Calibri" w:hAnsi="Calibri" w:eastAsia="宋体" w:cs="Times New Roman"/>
      <w:b/>
      <w:bCs/>
      <w:kern w:val="2"/>
      <w:sz w:val="30"/>
      <w:szCs w:val="24"/>
    </w:rPr>
  </w:style>
  <w:style w:type="character" w:customStyle="1" w:styleId="25">
    <w:name w:val="标题 2 字符"/>
    <w:basedOn w:val="20"/>
    <w:link w:val="5"/>
    <w:qFormat/>
    <w:uiPriority w:val="9"/>
    <w:rPr>
      <w:rFonts w:ascii="宋体" w:hAnsi="宋体" w:eastAsia="宋体" w:cs="宋体"/>
      <w:b/>
      <w:bCs/>
      <w:kern w:val="2"/>
      <w:sz w:val="30"/>
      <w:szCs w:val="30"/>
    </w:rPr>
  </w:style>
  <w:style w:type="character" w:customStyle="1" w:styleId="26">
    <w:name w:val="标题 3 字符"/>
    <w:basedOn w:val="20"/>
    <w:link w:val="6"/>
    <w:qFormat/>
    <w:uiPriority w:val="0"/>
    <w:rPr>
      <w:rFonts w:ascii="宋体" w:hAnsi="宋体" w:eastAsia="宋体" w:cs="宋体"/>
      <w:b/>
      <w:bCs/>
      <w:kern w:val="2"/>
      <w:sz w:val="28"/>
      <w:szCs w:val="28"/>
    </w:rPr>
  </w:style>
  <w:style w:type="paragraph" w:styleId="27">
    <w:name w:val="List Paragraph"/>
    <w:basedOn w:val="1"/>
    <w:qFormat/>
    <w:uiPriority w:val="34"/>
    <w:rPr>
      <w:rFonts w:asciiTheme="minorHAnsi" w:hAnsiTheme="minorHAnsi" w:eastAsiaTheme="minorEastAsia" w:cstheme="minorBidi"/>
      <w:kern w:val="2"/>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24169</Words>
  <Characters>27557</Characters>
  <Lines>210</Lines>
  <Paragraphs>59</Paragraphs>
  <TotalTime>115</TotalTime>
  <ScaleCrop>false</ScaleCrop>
  <LinksUpToDate>false</LinksUpToDate>
  <CharactersWithSpaces>28521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2025-03-14T00:25:00Z</dcterms:created>
  <dc:creator>Lenovo</dc:creator>
  <cp:lastModifiedBy>黄秉勋</cp:lastModifiedBy>
  <dcterms:modified xsi:type="dcterms:W3CDTF">2025-04-17T02:42:10Z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01789DBE341F4413B1D1D635C8B961EC_13</vt:lpwstr>
  </property>
  <property fmtid="{D5CDD505-2E9C-101B-9397-08002B2CF9AE}" pid="4" name="KSOTemplateDocerSaveRecord">
    <vt:lpwstr>eyJoZGlkIjoiZWM2MzljYmQxMWFkNWIzYzI4ZDc1NWFlZjdhZmNjZDciLCJ1c2VySWQiOiIzNDkyNTk3MDAifQ==</vt:lpwstr>
  </property>
</Properties>
</file>