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jc w:val="center"/>
        <w:rPr>
          <w:rFonts w:hint="eastAsia" w:eastAsiaTheme="minorEastAsia"/>
          <w:lang w:val="en-US" w:eastAsia="zh-CN"/>
        </w:rPr>
      </w:pPr>
      <w:r>
        <w:rPr>
          <w:b/>
          <w:sz w:val="36"/>
        </w:rPr>
        <w:t>采购需求</w:t>
      </w:r>
      <w:r>
        <w:rPr>
          <w:rFonts w:hint="eastAsia"/>
          <w:b/>
          <w:sz w:val="36"/>
          <w:lang w:val="en-US" w:eastAsia="zh-CN"/>
        </w:rPr>
        <w:t>书</w:t>
      </w:r>
    </w:p>
    <w:p>
      <w:pPr>
        <w:pStyle w:val="22"/>
        <w:shd w:val="clear"/>
        <w:jc w:val="both"/>
        <w:rPr>
          <w:color w:val="auto"/>
        </w:rPr>
      </w:pPr>
      <w:r>
        <w:rPr>
          <w:rFonts w:hint="eastAsia"/>
          <w:b/>
          <w:color w:val="auto"/>
          <w:sz w:val="21"/>
          <w:lang w:eastAsia="zh-CN"/>
        </w:rPr>
        <w:t>一、</w:t>
      </w:r>
      <w:r>
        <w:rPr>
          <w:b/>
          <w:color w:val="auto"/>
          <w:sz w:val="21"/>
        </w:rPr>
        <w:t>质量和数量要求</w:t>
      </w:r>
    </w:p>
    <w:p>
      <w:pPr>
        <w:pStyle w:val="22"/>
        <w:shd w:val="clear"/>
        <w:ind w:firstLine="422"/>
        <w:jc w:val="both"/>
        <w:rPr>
          <w:color w:val="auto"/>
        </w:rPr>
      </w:pPr>
      <w:r>
        <w:rPr>
          <w:b/>
          <w:color w:val="auto"/>
          <w:sz w:val="21"/>
        </w:rPr>
        <w:t>（一）整体质量要求：</w:t>
      </w:r>
    </w:p>
    <w:p>
      <w:pPr>
        <w:pStyle w:val="22"/>
        <w:shd w:val="clear"/>
        <w:ind w:firstLine="420"/>
        <w:jc w:val="both"/>
        <w:rPr>
          <w:color w:val="auto"/>
        </w:rPr>
      </w:pPr>
      <w:r>
        <w:rPr>
          <w:rFonts w:hint="eastAsia"/>
          <w:color w:val="auto"/>
          <w:sz w:val="21"/>
          <w:lang w:eastAsia="zh-CN"/>
        </w:rPr>
        <w:t>供应商</w:t>
      </w:r>
      <w:r>
        <w:rPr>
          <w:color w:val="auto"/>
          <w:sz w:val="21"/>
        </w:rPr>
        <w:t>供应的各类副食品必须符合国家《食品安全法》、《农产品质量安全法》等相关法律法规的要求，确保所供食品优质新鲜，符合卫生防疫部门、检验检疫部门的各项合格指标，并有完整的销售合格标注或证书。</w:t>
      </w:r>
      <w:r>
        <w:rPr>
          <w:rFonts w:hint="eastAsia"/>
          <w:color w:val="auto"/>
          <w:sz w:val="21"/>
          <w:lang w:eastAsia="zh-CN"/>
        </w:rPr>
        <w:t>供应商</w:t>
      </w:r>
      <w:r>
        <w:rPr>
          <w:color w:val="auto"/>
          <w:sz w:val="21"/>
        </w:rPr>
        <w:t>供应的粮油、蔬菜和水果食品，必须符合国家《农产品质量安全法》、《食品中污染物限量》、《食品安全国家标准食品中农药最大残留限量》等规定和采购人有关的质量要求，且应符合食品安全法要求并可出具有效的《农产品检验报告》，供应质量必须经过粗加工，食用率达95%以上。供应的肉类、禽蛋类、水产类食品，必须符合相关环境保护、知识产权等方面的法律要求，必须符合采购人提出的有关特殊要求和质量标准。如出现质量问题或保质期不足的情况，采购人有权拒绝接受所提供的物品或食品。若因食品质量引起食物中毒（经工商、卫生防疫部门鉴定），</w:t>
      </w:r>
      <w:r>
        <w:rPr>
          <w:rFonts w:hint="eastAsia"/>
          <w:color w:val="auto"/>
          <w:sz w:val="21"/>
          <w:lang w:eastAsia="zh-CN"/>
        </w:rPr>
        <w:t>供应商</w:t>
      </w:r>
      <w:r>
        <w:rPr>
          <w:color w:val="auto"/>
          <w:sz w:val="21"/>
        </w:rPr>
        <w:t>应承担全部法律责任，采购人有权取消其供应资格。</w:t>
      </w:r>
    </w:p>
    <w:p>
      <w:pPr>
        <w:pStyle w:val="22"/>
        <w:shd w:val="clear"/>
        <w:ind w:firstLine="422"/>
        <w:jc w:val="both"/>
        <w:rPr>
          <w:color w:val="auto"/>
        </w:rPr>
      </w:pPr>
      <w:r>
        <w:rPr>
          <w:b/>
          <w:color w:val="auto"/>
          <w:sz w:val="21"/>
        </w:rPr>
        <w:t>（二）粮油质量要求：</w:t>
      </w:r>
    </w:p>
    <w:p>
      <w:pPr>
        <w:pStyle w:val="22"/>
        <w:shd w:val="clear"/>
        <w:ind w:firstLine="420"/>
        <w:jc w:val="both"/>
        <w:rPr>
          <w:color w:val="auto"/>
        </w:rPr>
      </w:pPr>
      <w:r>
        <w:rPr>
          <w:color w:val="auto"/>
          <w:sz w:val="21"/>
        </w:rPr>
        <w:t>1、大米包装要求：</w:t>
      </w:r>
    </w:p>
    <w:p>
      <w:pPr>
        <w:pStyle w:val="22"/>
        <w:shd w:val="clear"/>
        <w:ind w:firstLine="420"/>
        <w:jc w:val="both"/>
        <w:rPr>
          <w:color w:val="auto"/>
        </w:rPr>
      </w:pPr>
      <w:r>
        <w:rPr>
          <w:color w:val="auto"/>
          <w:sz w:val="21"/>
        </w:rPr>
        <w:t>（1）包装应符合《粮食销售包装》（GB/T l7109）要求，包装材料清洁、卫生，符合国家食品卫生标准的规定。</w:t>
      </w:r>
    </w:p>
    <w:p>
      <w:pPr>
        <w:pStyle w:val="22"/>
        <w:shd w:val="clear"/>
        <w:ind w:firstLine="420"/>
        <w:jc w:val="both"/>
        <w:rPr>
          <w:color w:val="auto"/>
        </w:rPr>
      </w:pPr>
      <w:r>
        <w:rPr>
          <w:color w:val="auto"/>
          <w:sz w:val="21"/>
        </w:rPr>
        <w:t>（2）大米标签标识：标明产品名称、净含量、生产者名称和地址、生产日期、保质期、产品标准号、质量等级、生产许可证号、产品批号等内容。</w:t>
      </w:r>
    </w:p>
    <w:p>
      <w:pPr>
        <w:pStyle w:val="22"/>
        <w:shd w:val="clear"/>
        <w:ind w:firstLine="420"/>
        <w:jc w:val="both"/>
        <w:rPr>
          <w:color w:val="auto"/>
        </w:rPr>
      </w:pPr>
      <w:r>
        <w:rPr>
          <w:color w:val="auto"/>
          <w:sz w:val="21"/>
        </w:rPr>
        <w:t>（3）货物包装应完好无破漏，可视的内容物无腐败霉变或影响使用的变型，不存在危及人身、财产安全的不合理危险。</w:t>
      </w:r>
    </w:p>
    <w:p>
      <w:pPr>
        <w:pStyle w:val="22"/>
        <w:shd w:val="clear"/>
        <w:ind w:firstLine="420"/>
        <w:jc w:val="both"/>
        <w:rPr>
          <w:color w:val="auto"/>
        </w:rPr>
      </w:pPr>
      <w:r>
        <w:rPr>
          <w:color w:val="auto"/>
          <w:sz w:val="21"/>
        </w:rPr>
        <w:t>（4）食品包装标签应符合《食品安全国家标准预包装食品标签通则》（GB7718）要求，包括食品名称、配料表、净含量、规格、生产者（或）经销者的名称、地址和联系方式、生产日期和保质期、贮存条件、食品生产许可证编号、产品标准代号等内容。</w:t>
      </w:r>
    </w:p>
    <w:p>
      <w:pPr>
        <w:pStyle w:val="22"/>
        <w:shd w:val="clear"/>
        <w:ind w:firstLine="420"/>
        <w:jc w:val="both"/>
        <w:rPr>
          <w:color w:val="auto"/>
        </w:rPr>
      </w:pPr>
      <w:r>
        <w:rPr>
          <w:color w:val="auto"/>
          <w:sz w:val="21"/>
        </w:rPr>
        <w:t>（5）大米质量不低于《大米》（GBl354）四级籼米的要求，符合国家粮食卫生标准。</w:t>
      </w:r>
    </w:p>
    <w:p>
      <w:pPr>
        <w:pStyle w:val="22"/>
        <w:shd w:val="clear"/>
        <w:ind w:firstLine="420"/>
        <w:jc w:val="both"/>
        <w:rPr>
          <w:color w:val="auto"/>
        </w:rPr>
      </w:pPr>
      <w:r>
        <w:rPr>
          <w:color w:val="auto"/>
          <w:sz w:val="21"/>
        </w:rPr>
        <w:t>2、油类质量要求：</w:t>
      </w:r>
    </w:p>
    <w:p>
      <w:pPr>
        <w:pStyle w:val="22"/>
        <w:shd w:val="clear"/>
        <w:ind w:firstLine="420"/>
        <w:jc w:val="both"/>
        <w:rPr>
          <w:color w:val="auto"/>
        </w:rPr>
      </w:pPr>
      <w:r>
        <w:rPr>
          <w:color w:val="auto"/>
          <w:sz w:val="21"/>
        </w:rPr>
        <w:t>（1）每个食用油品种必须色泽好，透明度高，无浑浊，无沉淀和悬浮物，粘度小，无分层现象，气味正常，无酸臭异味。</w:t>
      </w:r>
    </w:p>
    <w:p>
      <w:pPr>
        <w:pStyle w:val="22"/>
        <w:shd w:val="clear"/>
        <w:ind w:firstLine="420"/>
        <w:jc w:val="both"/>
        <w:rPr>
          <w:color w:val="auto"/>
        </w:rPr>
      </w:pPr>
      <w:r>
        <w:rPr>
          <w:color w:val="auto"/>
          <w:sz w:val="21"/>
        </w:rPr>
        <w:t>（2）严格执行国家相关质量标准及卫生安全标准，色泽、气味、霉变、真菌毒素、重金属污染物、农药等严格控制在国家标准范围内（原粮及成品粮色泽、气味必须正常。霉变粒不得超过2％。真菌毒素：黄曲霉毒素B1（5μg/kg～20μg/kg）、脱氧雪腐镰刀菌烯醇（≤1000μg/kg）、玉米赤霉烯酮（≤60μg/kg）、赭曲霉毒素A（5μg/kg）。重金属污染物：铅（≤0.2mg/kg）、镉(0.1mg/kg～0.2mg/kg)、汞（0.02mg/kg）、无机砷（0.1mg/kg～0.2mg/kg）。农药：对磷化物、马拉硫磷等140余种农药规定了最大残留限量）。</w:t>
      </w:r>
    </w:p>
    <w:p>
      <w:pPr>
        <w:pStyle w:val="22"/>
        <w:shd w:val="clear"/>
        <w:ind w:firstLine="420"/>
        <w:jc w:val="both"/>
        <w:rPr>
          <w:color w:val="auto"/>
        </w:rPr>
      </w:pPr>
      <w:r>
        <w:rPr>
          <w:color w:val="auto"/>
          <w:sz w:val="21"/>
        </w:rPr>
        <w:t>（3）根据用户需求的食用油等级保质保量完成供货。要求提供的食用油生产厂家，有明确的商品标签，有生产日期、保质期、质量等级，并标明初制油的加工工艺（即用浸出法生产，还是用压榨法生产的），不许以次充好、以假充真。</w:t>
      </w:r>
    </w:p>
    <w:p>
      <w:pPr>
        <w:pStyle w:val="22"/>
        <w:shd w:val="clear"/>
        <w:ind w:firstLine="420"/>
        <w:jc w:val="both"/>
        <w:rPr>
          <w:color w:val="auto"/>
        </w:rPr>
      </w:pPr>
      <w:r>
        <w:rPr>
          <w:color w:val="auto"/>
          <w:sz w:val="21"/>
        </w:rPr>
        <w:t>（4）如将毛油当一级或二级油进行销售，将低价位的植物油掺入高价位植物油中进行销售，牟取暴利，一经查处，</w:t>
      </w:r>
      <w:r>
        <w:rPr>
          <w:rFonts w:hint="eastAsia"/>
          <w:color w:val="auto"/>
          <w:sz w:val="21"/>
          <w:lang w:eastAsia="zh-CN"/>
        </w:rPr>
        <w:t>供应商</w:t>
      </w:r>
      <w:r>
        <w:rPr>
          <w:color w:val="auto"/>
          <w:sz w:val="21"/>
        </w:rPr>
        <w:t>将承担由此产生的一切损失和相关法律责任。</w:t>
      </w:r>
    </w:p>
    <w:p>
      <w:pPr>
        <w:pStyle w:val="22"/>
        <w:shd w:val="clear"/>
        <w:ind w:firstLine="422"/>
        <w:jc w:val="both"/>
        <w:rPr>
          <w:color w:val="auto"/>
        </w:rPr>
      </w:pPr>
      <w:r>
        <w:rPr>
          <w:b/>
          <w:color w:val="auto"/>
          <w:sz w:val="21"/>
        </w:rPr>
        <w:t>（三）调味料和干货制品的质量要求：</w:t>
      </w:r>
    </w:p>
    <w:p>
      <w:pPr>
        <w:pStyle w:val="22"/>
        <w:shd w:val="clear"/>
        <w:ind w:firstLine="422"/>
        <w:jc w:val="both"/>
        <w:rPr>
          <w:color w:val="auto"/>
        </w:rPr>
      </w:pPr>
      <w:r>
        <w:rPr>
          <w:b/>
          <w:color w:val="auto"/>
          <w:sz w:val="21"/>
        </w:rPr>
        <w:t>食盐：</w:t>
      </w:r>
      <w:r>
        <w:rPr>
          <w:color w:val="auto"/>
          <w:sz w:val="21"/>
        </w:rPr>
        <w:t>结晶整齐一致，坚硬光滑，呈透明或半透明，不结块，无反卤吸潮现象，无杂质，沾取少许尝试具有纯正的咸味。</w:t>
      </w:r>
    </w:p>
    <w:p>
      <w:pPr>
        <w:pStyle w:val="22"/>
        <w:shd w:val="clear"/>
        <w:ind w:firstLine="422"/>
        <w:jc w:val="both"/>
        <w:rPr>
          <w:color w:val="auto"/>
        </w:rPr>
      </w:pPr>
      <w:r>
        <w:rPr>
          <w:b/>
          <w:color w:val="auto"/>
          <w:sz w:val="21"/>
        </w:rPr>
        <w:t>酱油：</w:t>
      </w:r>
      <w:r>
        <w:rPr>
          <w:color w:val="auto"/>
          <w:sz w:val="21"/>
        </w:rPr>
        <w:t>合格的酱油颜色比较红、亮，有光泽、透明，把这酱油倒在瓶子里后，摇一下，合格酱油产生的泡沫非常细腻，保持持久，挂碗现象非常好，有一种发黏的感觉；不合格的酱油泡沫比较大，很容易散去，挂碗现象不好，很容易滑落。</w:t>
      </w:r>
    </w:p>
    <w:p>
      <w:pPr>
        <w:pStyle w:val="22"/>
        <w:shd w:val="clear"/>
        <w:ind w:firstLine="422"/>
        <w:jc w:val="both"/>
        <w:rPr>
          <w:color w:val="auto"/>
        </w:rPr>
      </w:pPr>
      <w:r>
        <w:rPr>
          <w:b/>
          <w:color w:val="auto"/>
          <w:sz w:val="21"/>
        </w:rPr>
        <w:t>味精：</w:t>
      </w:r>
      <w:r>
        <w:rPr>
          <w:color w:val="auto"/>
          <w:sz w:val="21"/>
        </w:rPr>
        <w:t>无色至白色结晶或粉末，具有特殊的鲜味，无异味，无肉眼可见杂质。</w:t>
      </w:r>
    </w:p>
    <w:p>
      <w:pPr>
        <w:pStyle w:val="22"/>
        <w:shd w:val="clear"/>
        <w:ind w:firstLine="422"/>
        <w:jc w:val="both"/>
        <w:rPr>
          <w:color w:val="auto"/>
        </w:rPr>
      </w:pPr>
      <w:r>
        <w:rPr>
          <w:b/>
          <w:color w:val="auto"/>
          <w:sz w:val="21"/>
        </w:rPr>
        <w:t>食醋：</w:t>
      </w:r>
      <w:r>
        <w:rPr>
          <w:color w:val="auto"/>
          <w:sz w:val="21"/>
        </w:rPr>
        <w:t>具有正常食醋的色泽、气味和滋味，不涩，无其他不良气味与异味，无浮物，不浑浊，无沉淀，无异物，无醋鳗、醋虱。</w:t>
      </w:r>
    </w:p>
    <w:p>
      <w:pPr>
        <w:pStyle w:val="22"/>
        <w:shd w:val="clear"/>
        <w:ind w:firstLine="422"/>
        <w:jc w:val="both"/>
        <w:rPr>
          <w:color w:val="auto"/>
        </w:rPr>
      </w:pPr>
      <w:r>
        <w:rPr>
          <w:b/>
          <w:color w:val="auto"/>
          <w:sz w:val="21"/>
        </w:rPr>
        <w:t>食糖：</w:t>
      </w:r>
      <w:r>
        <w:rPr>
          <w:color w:val="auto"/>
          <w:sz w:val="21"/>
        </w:rPr>
        <w:t>食糖根据经营习惯分为白糖、红糖、冰糖、方糖等。</w:t>
      </w:r>
    </w:p>
    <w:p>
      <w:pPr>
        <w:pStyle w:val="22"/>
        <w:shd w:val="clear"/>
        <w:ind w:firstLine="420"/>
        <w:jc w:val="both"/>
        <w:rPr>
          <w:color w:val="auto"/>
        </w:rPr>
      </w:pPr>
      <w:r>
        <w:rPr>
          <w:color w:val="auto"/>
          <w:sz w:val="21"/>
        </w:rPr>
        <w:t>（1）白糖的感官鉴别：色泽洁白明亮，有光泽，具有白糖的正常气味，无酸味、酒味或其他外来气味。白砂糖：颗粒大如砂粒，晶粒均匀整齐，晶面明显，无碎末，糖质坚硬。绵白糖：颗粒细小而均匀，质地绵软、潮润。冰糖：块形完整，个粒均匀，结晶组织严密，透明或半透明，无破碎。方糖：呈正六面体状，表面平整，无裂纹，铁边，断角，无突出砂粒，无霉斑。凡是白糖都应干燥，晶粒松散，不粘手，不结块，无肉眼可见的杂质，白糖的水溶液应清晰透明无杂质。</w:t>
      </w:r>
    </w:p>
    <w:p>
      <w:pPr>
        <w:pStyle w:val="22"/>
        <w:shd w:val="clear"/>
        <w:ind w:firstLine="420"/>
        <w:jc w:val="both"/>
        <w:rPr>
          <w:color w:val="auto"/>
        </w:rPr>
      </w:pPr>
      <w:r>
        <w:rPr>
          <w:color w:val="auto"/>
          <w:sz w:val="21"/>
        </w:rPr>
        <w:t>（2）红糖的感官鉴别：红糖可细分为赤砂糖和红糖两种，其中赤砂糖是机制未经洗蜜的糖，红糖是用手工制成的土糖。因为红糖的颜色有红褐、青褐、黄褐、赤红、金黄、淡黄、枣红等多种，很不一致，故凭色泽难以识别红糖的质量，应将感官鉴别的侧重点放在组织状态、气味、滋味三个指标上。呈晶粒状或粉末状，干燥而松散，不结块，不成团，杂质，其水溶液清晰，无沉淀，无悬浮物，具有甘蔗汁的清香味，无有酒味、酸味或其他外来不良气味，口味浓甜带鲜，微有糖蜜味，无焦苦味或其他外来异味。</w:t>
      </w:r>
    </w:p>
    <w:p>
      <w:pPr>
        <w:pStyle w:val="22"/>
        <w:shd w:val="clear"/>
        <w:ind w:firstLine="422"/>
        <w:jc w:val="both"/>
        <w:rPr>
          <w:color w:val="auto"/>
        </w:rPr>
      </w:pPr>
      <w:r>
        <w:rPr>
          <w:b/>
          <w:color w:val="auto"/>
          <w:sz w:val="21"/>
        </w:rPr>
        <w:t>腐乳：</w:t>
      </w:r>
      <w:r>
        <w:rPr>
          <w:color w:val="auto"/>
          <w:sz w:val="21"/>
        </w:rPr>
        <w:t>红腐乳表面呈红色或枣红色，内部呈杏黄色，色泽鲜艳，有光泽。白腐乳外表呈乳黄色。块形整齐均匀，质地细腻，无霉斑、霉变及杂质。具有各品种的腐乳特有的香味或特征气味，无任何其他异味，滋味鲜美，咸淡适口，无任何其他异味。</w:t>
      </w:r>
    </w:p>
    <w:p>
      <w:pPr>
        <w:pStyle w:val="22"/>
        <w:shd w:val="clear"/>
        <w:ind w:firstLine="422"/>
        <w:jc w:val="both"/>
        <w:rPr>
          <w:color w:val="auto"/>
        </w:rPr>
      </w:pPr>
      <w:r>
        <w:rPr>
          <w:b/>
          <w:color w:val="auto"/>
          <w:sz w:val="21"/>
        </w:rPr>
        <w:t>辛辣料：</w:t>
      </w:r>
      <w:r>
        <w:rPr>
          <w:color w:val="auto"/>
          <w:sz w:val="21"/>
        </w:rPr>
        <w:t>辛辣料是采用植物果实和种子粉碎而配制成的天然植物香料，如五香粉、胡椒粉、花椒粉、咖喱粉、芥末粉等，辛辣料的主要原料有八角、花椒、胡椒、桂皮、小茴香、大茴香、辣椒、孜然等。辛辣料呈干燥状，具有该种香料植物所特有的色、香、味，没有不纯正的气味和味道，无发霉味或其他异味。</w:t>
      </w:r>
    </w:p>
    <w:p>
      <w:pPr>
        <w:pStyle w:val="22"/>
        <w:shd w:val="clear"/>
        <w:ind w:firstLine="422"/>
        <w:jc w:val="both"/>
        <w:rPr>
          <w:color w:val="auto"/>
        </w:rPr>
      </w:pPr>
      <w:r>
        <w:rPr>
          <w:b/>
          <w:color w:val="auto"/>
          <w:sz w:val="21"/>
        </w:rPr>
        <w:t>淀粉制品：</w:t>
      </w:r>
      <w:r>
        <w:rPr>
          <w:color w:val="auto"/>
          <w:sz w:val="21"/>
        </w:rPr>
        <w:t>具有各自品种固有的形态和色泽，不酸、不粘、不发霉，无变质，无异味，无杂质，口尝无砂质。</w:t>
      </w:r>
    </w:p>
    <w:p>
      <w:pPr>
        <w:pStyle w:val="22"/>
        <w:shd w:val="clear"/>
        <w:ind w:firstLine="422"/>
        <w:jc w:val="both"/>
        <w:rPr>
          <w:color w:val="auto"/>
        </w:rPr>
      </w:pPr>
      <w:r>
        <w:rPr>
          <w:b/>
          <w:color w:val="auto"/>
          <w:sz w:val="21"/>
        </w:rPr>
        <w:t>酱类食品：</w:t>
      </w:r>
      <w:r>
        <w:rPr>
          <w:color w:val="auto"/>
          <w:sz w:val="21"/>
        </w:rPr>
        <w:t>具有正常酿造酱的色泽、气味和滋味，不涩，无其他不良气味，不得有酸、苦、焦糊及其它异味、异物。</w:t>
      </w:r>
    </w:p>
    <w:p>
      <w:pPr>
        <w:pStyle w:val="22"/>
        <w:shd w:val="clear"/>
        <w:ind w:firstLine="422"/>
        <w:jc w:val="both"/>
        <w:rPr>
          <w:color w:val="auto"/>
        </w:rPr>
      </w:pPr>
      <w:r>
        <w:rPr>
          <w:b/>
          <w:color w:val="auto"/>
          <w:sz w:val="21"/>
        </w:rPr>
        <w:t>酱腌菜：</w:t>
      </w:r>
      <w:r>
        <w:rPr>
          <w:color w:val="auto"/>
          <w:sz w:val="21"/>
        </w:rPr>
        <w:t>具有酱腌菜固有的色、香、味，无杂质，无其他不良气味，不得有霉斑白膜。</w:t>
      </w:r>
    </w:p>
    <w:p>
      <w:pPr>
        <w:pStyle w:val="22"/>
        <w:shd w:val="clear"/>
        <w:ind w:firstLine="422"/>
        <w:jc w:val="both"/>
        <w:rPr>
          <w:color w:val="auto"/>
        </w:rPr>
      </w:pPr>
      <w:r>
        <w:rPr>
          <w:b/>
          <w:color w:val="auto"/>
          <w:sz w:val="21"/>
        </w:rPr>
        <w:t>腐竹：</w:t>
      </w:r>
      <w:r>
        <w:rPr>
          <w:color w:val="auto"/>
          <w:sz w:val="21"/>
        </w:rPr>
        <w:t>为枝条或片叶状，质脆易折，条状折断有空心，无霉斑、杂质、虫蛀。呈淡黄色，有光泽。具有腐竹固有的香味，无其他任何异味，取样品品尝其滋味，具有腐竹固有的鲜香滋味。</w:t>
      </w:r>
    </w:p>
    <w:p>
      <w:pPr>
        <w:pStyle w:val="22"/>
        <w:shd w:val="clear"/>
        <w:ind w:firstLine="422"/>
        <w:jc w:val="both"/>
        <w:rPr>
          <w:color w:val="auto"/>
        </w:rPr>
      </w:pPr>
      <w:r>
        <w:rPr>
          <w:b/>
          <w:color w:val="auto"/>
          <w:sz w:val="21"/>
        </w:rPr>
        <w:t>黄豆：</w:t>
      </w:r>
      <w:r>
        <w:rPr>
          <w:color w:val="auto"/>
          <w:sz w:val="21"/>
        </w:rPr>
        <w:t>大豆皮色呈各种大豆固有的颜色，光彩油亮，洁净而有光泽，颗粒饱满，整齐均匀，无虫蛀粒，无杂质，无霉变。</w:t>
      </w:r>
    </w:p>
    <w:p>
      <w:pPr>
        <w:pStyle w:val="22"/>
        <w:shd w:val="clear"/>
        <w:ind w:firstLine="422"/>
        <w:jc w:val="both"/>
        <w:rPr>
          <w:color w:val="auto"/>
        </w:rPr>
      </w:pPr>
      <w:r>
        <w:rPr>
          <w:b/>
          <w:color w:val="auto"/>
          <w:sz w:val="21"/>
        </w:rPr>
        <w:t>花生：</w:t>
      </w:r>
      <w:r>
        <w:rPr>
          <w:color w:val="auto"/>
          <w:sz w:val="21"/>
        </w:rPr>
        <w:t>果荚呈土黄色或白色，果仁呈各不同品种所特有的颜色，色泽分布均匀一致，带荚花生和去荚果仁均颗粒饱满、形态完整、大小均匀，子叶肥厚而有光泽，无杂质，具有花生特有的气味、香味，无任何异味。</w:t>
      </w:r>
    </w:p>
    <w:p>
      <w:pPr>
        <w:pStyle w:val="22"/>
        <w:shd w:val="clear"/>
        <w:ind w:firstLine="422"/>
        <w:jc w:val="both"/>
        <w:rPr>
          <w:color w:val="auto"/>
        </w:rPr>
      </w:pPr>
      <w:r>
        <w:rPr>
          <w:b/>
          <w:color w:val="auto"/>
          <w:sz w:val="21"/>
        </w:rPr>
        <w:t>干货制品：</w:t>
      </w:r>
      <w:r>
        <w:rPr>
          <w:color w:val="auto"/>
          <w:sz w:val="21"/>
        </w:rPr>
        <w:t>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22"/>
        <w:shd w:val="clear"/>
        <w:ind w:firstLine="422"/>
        <w:jc w:val="both"/>
        <w:rPr>
          <w:color w:val="auto"/>
        </w:rPr>
      </w:pPr>
      <w:r>
        <w:rPr>
          <w:b/>
          <w:color w:val="auto"/>
          <w:sz w:val="21"/>
        </w:rPr>
        <w:t>（四）果蔬类要求：</w:t>
      </w:r>
    </w:p>
    <w:p>
      <w:pPr>
        <w:pStyle w:val="22"/>
        <w:shd w:val="clear"/>
        <w:ind w:firstLine="420"/>
        <w:jc w:val="both"/>
        <w:rPr>
          <w:color w:val="auto"/>
        </w:rPr>
      </w:pPr>
      <w:r>
        <w:rPr>
          <w:color w:val="auto"/>
          <w:sz w:val="21"/>
        </w:rPr>
        <w:t>1、供应产品的质量要求：辅料、佐料类必须为正规厂家的产品，瓜、果、蔬菜必须是优质货品，不得含有残留农药或污染物，</w:t>
      </w:r>
      <w:r>
        <w:rPr>
          <w:rFonts w:hint="eastAsia"/>
          <w:color w:val="auto"/>
          <w:sz w:val="21"/>
          <w:lang w:eastAsia="zh-CN"/>
        </w:rPr>
        <w:t>供应商</w:t>
      </w:r>
      <w:r>
        <w:rPr>
          <w:color w:val="auto"/>
          <w:sz w:val="21"/>
        </w:rPr>
        <w:t>必须保证所供应的蔬菜符合卫生质量标准，同时承担因所供蔬菜问题引起的一切事故后果。卫生质量指标，应符合我国无公害蔬菜上的卫生指标规定。</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28"/>
        <w:gridCol w:w="4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8" w:type="dxa"/>
            <w:tcMar>
              <w:top w:w="0" w:type="dxa"/>
              <w:left w:w="0" w:type="dxa"/>
              <w:bottom w:w="0" w:type="dxa"/>
              <w:right w:w="0" w:type="dxa"/>
            </w:tcMar>
            <w:vAlign w:val="center"/>
          </w:tcPr>
          <w:p>
            <w:pPr>
              <w:pStyle w:val="22"/>
              <w:shd w:val="clear"/>
              <w:ind w:firstLine="371"/>
              <w:jc w:val="center"/>
              <w:rPr>
                <w:color w:val="auto"/>
              </w:rPr>
            </w:pPr>
            <w:r>
              <w:rPr>
                <w:b/>
                <w:color w:val="auto"/>
                <w:sz w:val="21"/>
              </w:rPr>
              <w:t>项目</w:t>
            </w:r>
          </w:p>
        </w:tc>
        <w:tc>
          <w:tcPr>
            <w:tcW w:w="4896" w:type="dxa"/>
            <w:tcMar>
              <w:top w:w="0" w:type="dxa"/>
              <w:left w:w="0" w:type="dxa"/>
              <w:bottom w:w="0" w:type="dxa"/>
              <w:right w:w="0" w:type="dxa"/>
            </w:tcMar>
            <w:vAlign w:val="center"/>
          </w:tcPr>
          <w:p>
            <w:pPr>
              <w:pStyle w:val="22"/>
              <w:shd w:val="clear"/>
              <w:ind w:firstLine="371"/>
              <w:jc w:val="center"/>
              <w:rPr>
                <w:color w:val="auto"/>
              </w:rPr>
            </w:pPr>
            <w:r>
              <w:rPr>
                <w:b/>
                <w:color w:val="auto"/>
                <w:sz w:val="21"/>
              </w:rPr>
              <w:t>指标（mg/kg）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8" w:type="dxa"/>
            <w:tcMar>
              <w:top w:w="0" w:type="dxa"/>
              <w:left w:w="0" w:type="dxa"/>
              <w:bottom w:w="0" w:type="dxa"/>
              <w:right w:w="0" w:type="dxa"/>
            </w:tcMar>
            <w:vAlign w:val="center"/>
          </w:tcPr>
          <w:p>
            <w:pPr>
              <w:pStyle w:val="22"/>
              <w:shd w:val="clear"/>
              <w:ind w:firstLine="369"/>
              <w:jc w:val="center"/>
              <w:rPr>
                <w:color w:val="auto"/>
              </w:rPr>
            </w:pPr>
            <w:r>
              <w:rPr>
                <w:color w:val="auto"/>
                <w:sz w:val="21"/>
              </w:rPr>
              <w:t>甲胺磷</w:t>
            </w:r>
          </w:p>
        </w:tc>
        <w:tc>
          <w:tcPr>
            <w:tcW w:w="4896" w:type="dxa"/>
            <w:tcMar>
              <w:top w:w="0" w:type="dxa"/>
              <w:left w:w="0" w:type="dxa"/>
              <w:bottom w:w="0" w:type="dxa"/>
              <w:right w:w="0" w:type="dxa"/>
            </w:tcMar>
            <w:vAlign w:val="center"/>
          </w:tcPr>
          <w:p>
            <w:pPr>
              <w:pStyle w:val="22"/>
              <w:shd w:val="clear"/>
              <w:ind w:firstLine="369"/>
              <w:jc w:val="center"/>
              <w:rPr>
                <w:color w:val="auto"/>
              </w:rPr>
            </w:pPr>
            <w:r>
              <w:rPr>
                <w:color w:val="auto"/>
                <w:sz w:val="21"/>
              </w:rPr>
              <w:t>不得检出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8" w:type="dxa"/>
            <w:tcMar>
              <w:top w:w="0" w:type="dxa"/>
              <w:left w:w="0" w:type="dxa"/>
              <w:bottom w:w="0" w:type="dxa"/>
              <w:right w:w="0" w:type="dxa"/>
            </w:tcMar>
            <w:vAlign w:val="center"/>
          </w:tcPr>
          <w:p>
            <w:pPr>
              <w:pStyle w:val="22"/>
              <w:shd w:val="clear"/>
              <w:ind w:firstLine="369"/>
              <w:jc w:val="center"/>
              <w:rPr>
                <w:color w:val="auto"/>
              </w:rPr>
            </w:pPr>
            <w:r>
              <w:rPr>
                <w:color w:val="auto"/>
                <w:sz w:val="21"/>
              </w:rPr>
              <w:t>甲拌磷</w:t>
            </w:r>
          </w:p>
        </w:tc>
        <w:tc>
          <w:tcPr>
            <w:tcW w:w="4896" w:type="dxa"/>
            <w:tcMar>
              <w:top w:w="0" w:type="dxa"/>
              <w:left w:w="0" w:type="dxa"/>
              <w:bottom w:w="0" w:type="dxa"/>
              <w:right w:w="0" w:type="dxa"/>
            </w:tcMar>
            <w:vAlign w:val="center"/>
          </w:tcPr>
          <w:p>
            <w:pPr>
              <w:pStyle w:val="22"/>
              <w:shd w:val="clear"/>
              <w:ind w:firstLine="369"/>
              <w:jc w:val="center"/>
              <w:rPr>
                <w:color w:val="auto"/>
              </w:rPr>
            </w:pPr>
            <w:r>
              <w:rPr>
                <w:color w:val="auto"/>
                <w:sz w:val="21"/>
              </w:rPr>
              <w:t>不得检出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8" w:type="dxa"/>
            <w:tcMar>
              <w:top w:w="0" w:type="dxa"/>
              <w:left w:w="0" w:type="dxa"/>
              <w:bottom w:w="0" w:type="dxa"/>
              <w:right w:w="0" w:type="dxa"/>
            </w:tcMar>
            <w:vAlign w:val="center"/>
          </w:tcPr>
          <w:p>
            <w:pPr>
              <w:pStyle w:val="22"/>
              <w:shd w:val="clear"/>
              <w:ind w:firstLine="369"/>
              <w:jc w:val="center"/>
              <w:rPr>
                <w:color w:val="auto"/>
              </w:rPr>
            </w:pPr>
            <w:r>
              <w:rPr>
                <w:color w:val="auto"/>
                <w:sz w:val="21"/>
              </w:rPr>
              <w:t>氧化乐果</w:t>
            </w:r>
          </w:p>
        </w:tc>
        <w:tc>
          <w:tcPr>
            <w:tcW w:w="4896" w:type="dxa"/>
            <w:tcMar>
              <w:top w:w="0" w:type="dxa"/>
              <w:left w:w="0" w:type="dxa"/>
              <w:bottom w:w="0" w:type="dxa"/>
              <w:right w:w="0" w:type="dxa"/>
            </w:tcMar>
            <w:vAlign w:val="center"/>
          </w:tcPr>
          <w:p>
            <w:pPr>
              <w:pStyle w:val="22"/>
              <w:shd w:val="clear"/>
              <w:ind w:firstLine="369"/>
              <w:jc w:val="center"/>
              <w:rPr>
                <w:color w:val="auto"/>
              </w:rPr>
            </w:pPr>
            <w:r>
              <w:rPr>
                <w:color w:val="auto"/>
                <w:sz w:val="21"/>
              </w:rPr>
              <w:t>不得检出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8" w:type="dxa"/>
            <w:tcMar>
              <w:top w:w="0" w:type="dxa"/>
              <w:left w:w="0" w:type="dxa"/>
              <w:bottom w:w="0" w:type="dxa"/>
              <w:right w:w="0" w:type="dxa"/>
            </w:tcMar>
            <w:vAlign w:val="center"/>
          </w:tcPr>
          <w:p>
            <w:pPr>
              <w:pStyle w:val="22"/>
              <w:shd w:val="clear"/>
              <w:ind w:firstLine="369"/>
              <w:jc w:val="center"/>
              <w:rPr>
                <w:color w:val="auto"/>
              </w:rPr>
            </w:pPr>
            <w:r>
              <w:rPr>
                <w:color w:val="auto"/>
                <w:sz w:val="21"/>
              </w:rPr>
              <w:t>甲基对硫磷</w:t>
            </w:r>
          </w:p>
        </w:tc>
        <w:tc>
          <w:tcPr>
            <w:tcW w:w="4896" w:type="dxa"/>
            <w:tcMar>
              <w:top w:w="0" w:type="dxa"/>
              <w:left w:w="0" w:type="dxa"/>
              <w:bottom w:w="0" w:type="dxa"/>
              <w:right w:w="0" w:type="dxa"/>
            </w:tcMar>
            <w:vAlign w:val="center"/>
          </w:tcPr>
          <w:p>
            <w:pPr>
              <w:pStyle w:val="22"/>
              <w:shd w:val="clear"/>
              <w:ind w:firstLine="369"/>
              <w:jc w:val="center"/>
              <w:rPr>
                <w:color w:val="auto"/>
              </w:rPr>
            </w:pPr>
            <w:r>
              <w:rPr>
                <w:color w:val="auto"/>
                <w:sz w:val="21"/>
              </w:rPr>
              <w:t>不得检出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8" w:type="dxa"/>
            <w:tcMar>
              <w:top w:w="0" w:type="dxa"/>
              <w:left w:w="0" w:type="dxa"/>
              <w:bottom w:w="0" w:type="dxa"/>
              <w:right w:w="0" w:type="dxa"/>
            </w:tcMar>
            <w:vAlign w:val="center"/>
          </w:tcPr>
          <w:p>
            <w:pPr>
              <w:pStyle w:val="22"/>
              <w:shd w:val="clear"/>
              <w:ind w:firstLine="369"/>
              <w:jc w:val="center"/>
              <w:rPr>
                <w:color w:val="auto"/>
              </w:rPr>
            </w:pPr>
            <w:r>
              <w:rPr>
                <w:color w:val="auto"/>
                <w:sz w:val="21"/>
              </w:rPr>
              <w:t>呋喃丹</w:t>
            </w:r>
          </w:p>
        </w:tc>
        <w:tc>
          <w:tcPr>
            <w:tcW w:w="4896" w:type="dxa"/>
            <w:tcMar>
              <w:top w:w="0" w:type="dxa"/>
              <w:left w:w="0" w:type="dxa"/>
              <w:bottom w:w="0" w:type="dxa"/>
              <w:right w:w="0" w:type="dxa"/>
            </w:tcMar>
            <w:vAlign w:val="center"/>
          </w:tcPr>
          <w:p>
            <w:pPr>
              <w:pStyle w:val="22"/>
              <w:shd w:val="clear"/>
              <w:ind w:firstLine="369"/>
              <w:jc w:val="center"/>
              <w:rPr>
                <w:color w:val="auto"/>
              </w:rPr>
            </w:pPr>
            <w:r>
              <w:rPr>
                <w:color w:val="auto"/>
                <w:sz w:val="21"/>
              </w:rPr>
              <w:t>不得检出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8" w:type="dxa"/>
            <w:tcMar>
              <w:top w:w="0" w:type="dxa"/>
              <w:left w:w="0" w:type="dxa"/>
              <w:bottom w:w="0" w:type="dxa"/>
              <w:right w:w="0" w:type="dxa"/>
            </w:tcMar>
            <w:vAlign w:val="center"/>
          </w:tcPr>
          <w:p>
            <w:pPr>
              <w:pStyle w:val="22"/>
              <w:shd w:val="clear"/>
              <w:ind w:firstLine="369"/>
              <w:jc w:val="center"/>
              <w:rPr>
                <w:color w:val="auto"/>
              </w:rPr>
            </w:pPr>
            <w:r>
              <w:rPr>
                <w:color w:val="auto"/>
                <w:sz w:val="21"/>
              </w:rPr>
              <w:t>百菌清</w:t>
            </w:r>
          </w:p>
        </w:tc>
        <w:tc>
          <w:tcPr>
            <w:tcW w:w="4896" w:type="dxa"/>
            <w:tcMar>
              <w:top w:w="0" w:type="dxa"/>
              <w:left w:w="0" w:type="dxa"/>
              <w:bottom w:w="0" w:type="dxa"/>
              <w:right w:w="0" w:type="dxa"/>
            </w:tcMar>
            <w:vAlign w:val="center"/>
          </w:tcPr>
          <w:p>
            <w:pPr>
              <w:pStyle w:val="22"/>
              <w:shd w:val="clear"/>
              <w:ind w:firstLine="369"/>
              <w:jc w:val="center"/>
              <w:rPr>
                <w:color w:val="auto"/>
              </w:rPr>
            </w:pPr>
            <w:r>
              <w:rPr>
                <w:color w:val="auto"/>
                <w:sz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8" w:type="dxa"/>
            <w:tcMar>
              <w:top w:w="0" w:type="dxa"/>
              <w:left w:w="0" w:type="dxa"/>
              <w:bottom w:w="0" w:type="dxa"/>
              <w:right w:w="0" w:type="dxa"/>
            </w:tcMar>
            <w:vAlign w:val="center"/>
          </w:tcPr>
          <w:p>
            <w:pPr>
              <w:pStyle w:val="22"/>
              <w:shd w:val="clear"/>
              <w:ind w:firstLine="369"/>
              <w:jc w:val="center"/>
              <w:rPr>
                <w:color w:val="auto"/>
              </w:rPr>
            </w:pPr>
            <w:r>
              <w:rPr>
                <w:color w:val="auto"/>
                <w:sz w:val="21"/>
              </w:rPr>
              <w:t>多菌灵</w:t>
            </w:r>
          </w:p>
        </w:tc>
        <w:tc>
          <w:tcPr>
            <w:tcW w:w="4896" w:type="dxa"/>
            <w:tcMar>
              <w:top w:w="0" w:type="dxa"/>
              <w:left w:w="0" w:type="dxa"/>
              <w:bottom w:w="0" w:type="dxa"/>
              <w:right w:w="0" w:type="dxa"/>
            </w:tcMar>
            <w:vAlign w:val="center"/>
          </w:tcPr>
          <w:p>
            <w:pPr>
              <w:pStyle w:val="22"/>
              <w:shd w:val="clear"/>
              <w:ind w:firstLine="369"/>
              <w:jc w:val="center"/>
              <w:rPr>
                <w:color w:val="auto"/>
              </w:rPr>
            </w:pPr>
            <w:r>
              <w:rPr>
                <w:color w:val="auto"/>
                <w:sz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8" w:type="dxa"/>
            <w:tcMar>
              <w:top w:w="0" w:type="dxa"/>
              <w:left w:w="0" w:type="dxa"/>
              <w:bottom w:w="0" w:type="dxa"/>
              <w:right w:w="0" w:type="dxa"/>
            </w:tcMar>
            <w:vAlign w:val="center"/>
          </w:tcPr>
          <w:p>
            <w:pPr>
              <w:pStyle w:val="22"/>
              <w:shd w:val="clear"/>
              <w:ind w:firstLine="369"/>
              <w:jc w:val="center"/>
              <w:rPr>
                <w:color w:val="auto"/>
              </w:rPr>
            </w:pPr>
            <w:r>
              <w:rPr>
                <w:color w:val="auto"/>
                <w:sz w:val="21"/>
              </w:rPr>
              <w:t>汞（以Hg计）</w:t>
            </w:r>
          </w:p>
        </w:tc>
        <w:tc>
          <w:tcPr>
            <w:tcW w:w="4896" w:type="dxa"/>
            <w:tcMar>
              <w:top w:w="0" w:type="dxa"/>
              <w:left w:w="0" w:type="dxa"/>
              <w:bottom w:w="0" w:type="dxa"/>
              <w:right w:w="0" w:type="dxa"/>
            </w:tcMar>
            <w:vAlign w:val="center"/>
          </w:tcPr>
          <w:p>
            <w:pPr>
              <w:pStyle w:val="22"/>
              <w:shd w:val="clear"/>
              <w:ind w:firstLine="369"/>
              <w:jc w:val="center"/>
              <w:rPr>
                <w:color w:val="auto"/>
              </w:rPr>
            </w:pPr>
            <w:r>
              <w:rPr>
                <w:color w:val="auto"/>
                <w:sz w:val="21"/>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8" w:type="dxa"/>
            <w:tcMar>
              <w:top w:w="0" w:type="dxa"/>
              <w:left w:w="0" w:type="dxa"/>
              <w:bottom w:w="0" w:type="dxa"/>
              <w:right w:w="0" w:type="dxa"/>
            </w:tcMar>
            <w:vAlign w:val="center"/>
          </w:tcPr>
          <w:p>
            <w:pPr>
              <w:pStyle w:val="22"/>
              <w:shd w:val="clear"/>
              <w:ind w:firstLine="369"/>
              <w:jc w:val="center"/>
              <w:rPr>
                <w:color w:val="auto"/>
              </w:rPr>
            </w:pPr>
            <w:r>
              <w:rPr>
                <w:color w:val="auto"/>
                <w:sz w:val="21"/>
              </w:rPr>
              <w:t>铅（以Pb计）</w:t>
            </w:r>
          </w:p>
        </w:tc>
        <w:tc>
          <w:tcPr>
            <w:tcW w:w="4896" w:type="dxa"/>
            <w:tcMar>
              <w:top w:w="0" w:type="dxa"/>
              <w:left w:w="0" w:type="dxa"/>
              <w:bottom w:w="0" w:type="dxa"/>
              <w:right w:w="0" w:type="dxa"/>
            </w:tcMar>
            <w:vAlign w:val="center"/>
          </w:tcPr>
          <w:p>
            <w:pPr>
              <w:pStyle w:val="22"/>
              <w:shd w:val="clear"/>
              <w:ind w:firstLine="369"/>
              <w:jc w:val="center"/>
              <w:rPr>
                <w:color w:val="auto"/>
              </w:rPr>
            </w:pPr>
            <w:r>
              <w:rPr>
                <w:color w:val="auto"/>
                <w:sz w:val="21"/>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8" w:type="dxa"/>
            <w:tcMar>
              <w:top w:w="0" w:type="dxa"/>
              <w:left w:w="0" w:type="dxa"/>
              <w:bottom w:w="0" w:type="dxa"/>
              <w:right w:w="0" w:type="dxa"/>
            </w:tcMar>
            <w:vAlign w:val="center"/>
          </w:tcPr>
          <w:p>
            <w:pPr>
              <w:pStyle w:val="22"/>
              <w:shd w:val="clear"/>
              <w:ind w:firstLine="369"/>
              <w:jc w:val="center"/>
              <w:rPr>
                <w:color w:val="auto"/>
              </w:rPr>
            </w:pPr>
            <w:r>
              <w:rPr>
                <w:color w:val="auto"/>
                <w:sz w:val="21"/>
              </w:rPr>
              <w:t>砷（以As计）</w:t>
            </w:r>
          </w:p>
        </w:tc>
        <w:tc>
          <w:tcPr>
            <w:tcW w:w="4896" w:type="dxa"/>
            <w:tcMar>
              <w:top w:w="0" w:type="dxa"/>
              <w:left w:w="0" w:type="dxa"/>
              <w:bottom w:w="0" w:type="dxa"/>
              <w:right w:w="0" w:type="dxa"/>
            </w:tcMar>
            <w:vAlign w:val="center"/>
          </w:tcPr>
          <w:p>
            <w:pPr>
              <w:pStyle w:val="22"/>
              <w:shd w:val="clear"/>
              <w:ind w:firstLine="369"/>
              <w:jc w:val="center"/>
              <w:rPr>
                <w:color w:val="auto"/>
              </w:rPr>
            </w:pPr>
            <w:r>
              <w:rPr>
                <w:color w:val="auto"/>
                <w:sz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8" w:type="dxa"/>
            <w:tcMar>
              <w:top w:w="0" w:type="dxa"/>
              <w:left w:w="0" w:type="dxa"/>
              <w:bottom w:w="0" w:type="dxa"/>
              <w:right w:w="0" w:type="dxa"/>
            </w:tcMar>
            <w:vAlign w:val="center"/>
          </w:tcPr>
          <w:p>
            <w:pPr>
              <w:pStyle w:val="22"/>
              <w:shd w:val="clear"/>
              <w:ind w:firstLine="369"/>
              <w:jc w:val="center"/>
              <w:rPr>
                <w:color w:val="auto"/>
              </w:rPr>
            </w:pPr>
            <w:r>
              <w:rPr>
                <w:color w:val="auto"/>
                <w:sz w:val="21"/>
              </w:rPr>
              <w:t>氟（以F计）</w:t>
            </w:r>
          </w:p>
        </w:tc>
        <w:tc>
          <w:tcPr>
            <w:tcW w:w="4896" w:type="dxa"/>
            <w:tcMar>
              <w:top w:w="0" w:type="dxa"/>
              <w:left w:w="0" w:type="dxa"/>
              <w:bottom w:w="0" w:type="dxa"/>
              <w:right w:w="0" w:type="dxa"/>
            </w:tcMar>
            <w:vAlign w:val="center"/>
          </w:tcPr>
          <w:p>
            <w:pPr>
              <w:pStyle w:val="22"/>
              <w:shd w:val="clear"/>
              <w:ind w:firstLine="369"/>
              <w:jc w:val="center"/>
              <w:rPr>
                <w:color w:val="auto"/>
              </w:rPr>
            </w:pPr>
            <w:r>
              <w:rPr>
                <w:color w:val="auto"/>
                <w:sz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8" w:type="dxa"/>
            <w:tcMar>
              <w:top w:w="0" w:type="dxa"/>
              <w:left w:w="0" w:type="dxa"/>
              <w:bottom w:w="0" w:type="dxa"/>
              <w:right w:w="0" w:type="dxa"/>
            </w:tcMar>
            <w:vAlign w:val="center"/>
          </w:tcPr>
          <w:p>
            <w:pPr>
              <w:pStyle w:val="22"/>
              <w:shd w:val="clear"/>
              <w:ind w:firstLine="369"/>
              <w:jc w:val="center"/>
              <w:rPr>
                <w:color w:val="auto"/>
              </w:rPr>
            </w:pPr>
            <w:r>
              <w:rPr>
                <w:color w:val="auto"/>
                <w:sz w:val="21"/>
              </w:rPr>
              <w:t>硝酸盐（以NaNO3计）</w:t>
            </w:r>
          </w:p>
        </w:tc>
        <w:tc>
          <w:tcPr>
            <w:tcW w:w="4896" w:type="dxa"/>
            <w:tcMar>
              <w:top w:w="0" w:type="dxa"/>
              <w:left w:w="0" w:type="dxa"/>
              <w:bottom w:w="0" w:type="dxa"/>
              <w:right w:w="0" w:type="dxa"/>
            </w:tcMar>
            <w:vAlign w:val="center"/>
          </w:tcPr>
          <w:p>
            <w:pPr>
              <w:pStyle w:val="22"/>
              <w:shd w:val="clear"/>
              <w:ind w:firstLine="369"/>
              <w:jc w:val="center"/>
              <w:rPr>
                <w:color w:val="auto"/>
              </w:rPr>
            </w:pPr>
            <w:r>
              <w:rPr>
                <w:color w:val="auto"/>
                <w:sz w:val="21"/>
              </w:rPr>
              <w:t>瓜果类≤600；叶菜根茎类≤1200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8" w:type="dxa"/>
            <w:tcMar>
              <w:top w:w="0" w:type="dxa"/>
              <w:left w:w="0" w:type="dxa"/>
              <w:bottom w:w="0" w:type="dxa"/>
              <w:right w:w="0" w:type="dxa"/>
            </w:tcMar>
            <w:vAlign w:val="center"/>
          </w:tcPr>
          <w:p>
            <w:pPr>
              <w:pStyle w:val="22"/>
              <w:shd w:val="clear"/>
              <w:ind w:firstLine="369"/>
              <w:jc w:val="center"/>
              <w:rPr>
                <w:color w:val="auto"/>
              </w:rPr>
            </w:pPr>
            <w:r>
              <w:rPr>
                <w:color w:val="auto"/>
                <w:sz w:val="21"/>
              </w:rPr>
              <w:t>亚硝酸盐（以NaNO2计）</w:t>
            </w:r>
          </w:p>
        </w:tc>
        <w:tc>
          <w:tcPr>
            <w:tcW w:w="4896" w:type="dxa"/>
            <w:tcMar>
              <w:top w:w="0" w:type="dxa"/>
              <w:left w:w="0" w:type="dxa"/>
              <w:bottom w:w="0" w:type="dxa"/>
              <w:right w:w="0" w:type="dxa"/>
            </w:tcMar>
            <w:vAlign w:val="center"/>
          </w:tcPr>
          <w:p>
            <w:pPr>
              <w:pStyle w:val="22"/>
              <w:shd w:val="clear"/>
              <w:ind w:firstLine="369"/>
              <w:jc w:val="center"/>
              <w:rPr>
                <w:color w:val="auto"/>
              </w:rPr>
            </w:pPr>
            <w:r>
              <w:rPr>
                <w:color w:val="auto"/>
                <w:sz w:val="21"/>
              </w:rPr>
              <w:t>≤4</w:t>
            </w:r>
          </w:p>
        </w:tc>
      </w:tr>
    </w:tbl>
    <w:p>
      <w:pPr>
        <w:pStyle w:val="22"/>
        <w:shd w:val="clear"/>
        <w:ind w:firstLine="420" w:firstLineChars="200"/>
        <w:jc w:val="both"/>
        <w:rPr>
          <w:color w:val="auto"/>
        </w:rPr>
      </w:pPr>
      <w:r>
        <w:rPr>
          <w:color w:val="auto"/>
          <w:sz w:val="21"/>
        </w:rPr>
        <w:t>2、具体感观要求：</w:t>
      </w:r>
    </w:p>
    <w:p>
      <w:pPr>
        <w:pStyle w:val="22"/>
        <w:shd w:val="clear"/>
        <w:ind w:firstLine="420"/>
        <w:jc w:val="both"/>
        <w:rPr>
          <w:color w:val="auto"/>
        </w:rPr>
      </w:pPr>
      <w:r>
        <w:rPr>
          <w:color w:val="auto"/>
          <w:sz w:val="21"/>
        </w:rPr>
        <w:t>果蔬类的农药残留须符合《食品安全国家标准食品中农药最大残留限量》</w:t>
      </w:r>
      <w:r>
        <w:rPr>
          <w:rFonts w:hint="eastAsia"/>
          <w:color w:val="auto"/>
          <w:sz w:val="21"/>
          <w:lang w:eastAsia="zh-CN"/>
        </w:rPr>
        <w:t>（</w:t>
      </w:r>
      <w:r>
        <w:rPr>
          <w:color w:val="auto"/>
          <w:sz w:val="21"/>
        </w:rPr>
        <w:t>GB 2763</w:t>
      </w:r>
      <w:r>
        <w:rPr>
          <w:rFonts w:hint="eastAsia"/>
          <w:color w:val="auto"/>
          <w:sz w:val="21"/>
          <w:lang w:eastAsia="zh-CN"/>
        </w:rPr>
        <w:t>）</w:t>
      </w:r>
      <w:r>
        <w:rPr>
          <w:color w:val="auto"/>
          <w:sz w:val="21"/>
        </w:rPr>
        <w:t>的规定。</w:t>
      </w:r>
    </w:p>
    <w:p>
      <w:pPr>
        <w:pStyle w:val="22"/>
        <w:shd w:val="clear"/>
        <w:ind w:firstLine="420"/>
        <w:jc w:val="both"/>
        <w:rPr>
          <w:color w:val="auto"/>
        </w:rPr>
      </w:pPr>
      <w:r>
        <w:rPr>
          <w:color w:val="auto"/>
          <w:sz w:val="21"/>
        </w:rPr>
        <w:t>（1）水果类要求：</w:t>
      </w:r>
    </w:p>
    <w:p>
      <w:pPr>
        <w:pStyle w:val="22"/>
        <w:shd w:val="clear"/>
        <w:ind w:firstLine="420"/>
        <w:jc w:val="both"/>
        <w:rPr>
          <w:color w:val="auto"/>
        </w:rPr>
      </w:pPr>
      <w:r>
        <w:rPr>
          <w:color w:val="auto"/>
          <w:sz w:val="21"/>
        </w:rPr>
        <w:t>从水果色泽看，各种水果都应具有本品种固有的颜色，皮色光泽，无虫洞，以此显示水果的成熟度及新鲜程度。</w:t>
      </w:r>
    </w:p>
    <w:p>
      <w:pPr>
        <w:pStyle w:val="22"/>
        <w:shd w:val="clear"/>
        <w:ind w:firstLine="420"/>
        <w:jc w:val="both"/>
        <w:rPr>
          <w:color w:val="auto"/>
        </w:rPr>
      </w:pPr>
      <w:r>
        <w:rPr>
          <w:color w:val="auto"/>
          <w:sz w:val="21"/>
        </w:rPr>
        <w:t>从水果气味看，具有清馨、甘辛香、甜酸香等气味，可凭嗅觉识别不同品种的质量，不允许有腐烂变质的亚硝酸盐味和其他异常气味。</w:t>
      </w:r>
    </w:p>
    <w:p>
      <w:pPr>
        <w:pStyle w:val="22"/>
        <w:shd w:val="clear"/>
        <w:ind w:firstLine="420"/>
        <w:jc w:val="both"/>
        <w:rPr>
          <w:color w:val="auto"/>
        </w:rPr>
      </w:pPr>
      <w:r>
        <w:rPr>
          <w:color w:val="auto"/>
          <w:sz w:val="21"/>
        </w:rPr>
        <w:t>从水果味道看，因品种不同而各异，多数水果滋味甘淡、甜酸、清爽鲜美，少数具有辛酸、苦涩等特殊风味以刺激食欲，如失去本品种原有的滋味即为异常。</w:t>
      </w:r>
    </w:p>
    <w:p>
      <w:pPr>
        <w:pStyle w:val="22"/>
        <w:shd w:val="clear"/>
        <w:ind w:firstLine="420"/>
        <w:jc w:val="both"/>
        <w:rPr>
          <w:color w:val="auto"/>
        </w:rPr>
      </w:pPr>
      <w:r>
        <w:rPr>
          <w:color w:val="auto"/>
          <w:sz w:val="21"/>
        </w:rPr>
        <w:t>从水果形态看，应尽量避免由于客观因素而造成的各种非正常、不新鲜的水果，例如水果枝头萎蔫、枯塌、损伤、病变、虫害侵蚀等引起的形态异常等。</w:t>
      </w:r>
    </w:p>
    <w:p>
      <w:pPr>
        <w:pStyle w:val="22"/>
        <w:shd w:val="clear"/>
        <w:ind w:firstLine="420"/>
        <w:jc w:val="both"/>
        <w:rPr>
          <w:color w:val="auto"/>
        </w:rPr>
      </w:pPr>
      <w:r>
        <w:rPr>
          <w:color w:val="auto"/>
          <w:sz w:val="21"/>
        </w:rPr>
        <w:t>（2）蔬菜类要求：</w:t>
      </w:r>
    </w:p>
    <w:p>
      <w:pPr>
        <w:pStyle w:val="22"/>
        <w:shd w:val="clear"/>
        <w:ind w:firstLine="420"/>
        <w:jc w:val="both"/>
        <w:rPr>
          <w:color w:val="auto"/>
        </w:rPr>
      </w:pPr>
      <w:r>
        <w:rPr>
          <w:color w:val="auto"/>
          <w:sz w:val="21"/>
        </w:rPr>
        <w:t>从蔬菜色泽看，各种蔬菜都应具有本品种固有的颜色，大多数有发亮的光泽，以此显示蔬菜的成熟度及鲜嫩程度；</w:t>
      </w:r>
    </w:p>
    <w:p>
      <w:pPr>
        <w:pStyle w:val="22"/>
        <w:shd w:val="clear"/>
        <w:ind w:firstLine="420"/>
        <w:jc w:val="both"/>
        <w:rPr>
          <w:color w:val="auto"/>
        </w:rPr>
      </w:pPr>
      <w:r>
        <w:rPr>
          <w:color w:val="auto"/>
          <w:sz w:val="21"/>
        </w:rPr>
        <w:t>从蔬菜气味看，多数蔬菜具有清馨、甘辛香、甜酸香等气味，可凭嗅觉识别不同品种的质量，不允许有腐烂变质的亚硝酸盐味和其他异常气味；</w:t>
      </w:r>
    </w:p>
    <w:p>
      <w:pPr>
        <w:pStyle w:val="22"/>
        <w:shd w:val="clear"/>
        <w:ind w:firstLine="420"/>
        <w:jc w:val="both"/>
        <w:rPr>
          <w:color w:val="auto"/>
        </w:rPr>
      </w:pPr>
      <w:r>
        <w:rPr>
          <w:color w:val="auto"/>
          <w:sz w:val="21"/>
        </w:rPr>
        <w:t>从蔬菜滋味看，因品种不同而各异，多数蔬菜滋味甘淡、甜酸、清爽鲜美，少数具有辛酸、苦涩等特殊风味以刺激食欲，如失去本品种原有的滋即为异常；</w:t>
      </w:r>
    </w:p>
    <w:p>
      <w:pPr>
        <w:pStyle w:val="22"/>
        <w:shd w:val="clear"/>
        <w:ind w:firstLine="420"/>
        <w:jc w:val="both"/>
        <w:rPr>
          <w:color w:val="auto"/>
        </w:rPr>
      </w:pPr>
      <w:r>
        <w:rPr>
          <w:color w:val="auto"/>
          <w:sz w:val="21"/>
        </w:rPr>
        <w:t>从蔬菜形态看，应尽量避免由于客观因素而造成的各种非正常、不新鲜的蔬菜，例如萎蔫、枯塌、损伤、病变、虫害侵蚀等引起的形态异常等。</w:t>
      </w:r>
    </w:p>
    <w:p>
      <w:pPr>
        <w:pStyle w:val="22"/>
        <w:shd w:val="clear"/>
        <w:ind w:firstLine="371"/>
        <w:jc w:val="both"/>
        <w:rPr>
          <w:color w:val="auto"/>
        </w:rPr>
      </w:pPr>
      <w:r>
        <w:rPr>
          <w:b/>
          <w:color w:val="auto"/>
          <w:sz w:val="21"/>
        </w:rPr>
        <w:t>叶菜类：</w:t>
      </w:r>
      <w:r>
        <w:rPr>
          <w:color w:val="auto"/>
          <w:sz w:val="21"/>
        </w:rPr>
        <w:t>大白菜、小白菜、菠菜、甘蓝、荠菜、空心菜、茼蒿、苋菜、芹菜等绿叶菜类。</w:t>
      </w:r>
    </w:p>
    <w:p>
      <w:pPr>
        <w:pStyle w:val="22"/>
        <w:shd w:val="clear"/>
        <w:ind w:firstLine="369"/>
        <w:jc w:val="both"/>
        <w:rPr>
          <w:color w:val="auto"/>
        </w:rPr>
      </w:pPr>
      <w:r>
        <w:rPr>
          <w:color w:val="auto"/>
          <w:sz w:val="21"/>
        </w:rPr>
        <w:t>属同一品种规格，色泽正常，茎基部削平，无枯黄叶、病叶、泥土、明显机械伤和病虫害伤，无烧心焦边、腐烂等现象，无抽苔（菜心除外），无畸形、异味，结球叶菜要结球适度，花椰菜应新鲜洁白，不带叶麸，无畸形花。</w:t>
      </w:r>
    </w:p>
    <w:p>
      <w:pPr>
        <w:pStyle w:val="22"/>
        <w:shd w:val="clear"/>
        <w:ind w:firstLine="371"/>
        <w:jc w:val="both"/>
        <w:rPr>
          <w:color w:val="auto"/>
        </w:rPr>
      </w:pPr>
      <w:r>
        <w:rPr>
          <w:b/>
          <w:color w:val="auto"/>
          <w:sz w:val="21"/>
        </w:rPr>
        <w:t>茄果类：</w:t>
      </w:r>
      <w:r>
        <w:rPr>
          <w:color w:val="auto"/>
          <w:sz w:val="21"/>
        </w:rPr>
        <w:t>番茄、茄子、甜椒、辣椒等。</w:t>
      </w:r>
    </w:p>
    <w:p>
      <w:pPr>
        <w:pStyle w:val="22"/>
        <w:shd w:val="clear"/>
        <w:ind w:firstLine="369"/>
        <w:jc w:val="both"/>
        <w:rPr>
          <w:color w:val="auto"/>
        </w:rPr>
      </w:pPr>
      <w:r>
        <w:rPr>
          <w:color w:val="auto"/>
          <w:sz w:val="21"/>
        </w:rPr>
        <w:t>属同一品种规格，果实整洁，成熟度适中，番茄花蒂不明显，无裂果及空洞现象，茄果不能有裂蒂及果皮变硬现象，无腐烂、畸形、异味，无明显机械伤。</w:t>
      </w:r>
    </w:p>
    <w:p>
      <w:pPr>
        <w:pStyle w:val="22"/>
        <w:shd w:val="clear"/>
        <w:ind w:firstLine="371"/>
        <w:jc w:val="both"/>
        <w:rPr>
          <w:color w:val="auto"/>
        </w:rPr>
      </w:pPr>
      <w:r>
        <w:rPr>
          <w:b/>
          <w:color w:val="auto"/>
          <w:sz w:val="21"/>
        </w:rPr>
        <w:t>瓜果类：</w:t>
      </w:r>
      <w:r>
        <w:rPr>
          <w:color w:val="auto"/>
          <w:sz w:val="21"/>
        </w:rPr>
        <w:t>黄瓜、冬瓜、丝瓜、苦瓜、南瓜、毛节瓜等。</w:t>
      </w:r>
    </w:p>
    <w:p>
      <w:pPr>
        <w:pStyle w:val="22"/>
        <w:shd w:val="clear"/>
        <w:ind w:firstLine="369"/>
        <w:jc w:val="both"/>
        <w:rPr>
          <w:color w:val="auto"/>
        </w:rPr>
      </w:pPr>
      <w:r>
        <w:rPr>
          <w:color w:val="auto"/>
          <w:sz w:val="21"/>
        </w:rPr>
        <w:t>属同一品种规格，形状、色泽一致，瓜条均匀，无疤点，无断裂，无腐烂、畸形、异味、明显机械伤，不带泥土。</w:t>
      </w:r>
    </w:p>
    <w:p>
      <w:pPr>
        <w:pStyle w:val="22"/>
        <w:shd w:val="clear"/>
        <w:ind w:firstLine="371"/>
        <w:jc w:val="both"/>
        <w:rPr>
          <w:color w:val="auto"/>
        </w:rPr>
      </w:pPr>
      <w:r>
        <w:rPr>
          <w:b/>
          <w:color w:val="auto"/>
          <w:sz w:val="21"/>
        </w:rPr>
        <w:t>根菜类：</w:t>
      </w:r>
      <w:r>
        <w:rPr>
          <w:color w:val="auto"/>
          <w:sz w:val="21"/>
        </w:rPr>
        <w:t>萝卜、胡萝卜、大头菜、芦笋、莴笋等。</w:t>
      </w:r>
    </w:p>
    <w:p>
      <w:pPr>
        <w:pStyle w:val="22"/>
        <w:shd w:val="clear"/>
        <w:ind w:firstLine="369"/>
        <w:jc w:val="both"/>
        <w:rPr>
          <w:color w:val="auto"/>
        </w:rPr>
      </w:pPr>
      <w:r>
        <w:rPr>
          <w:color w:val="auto"/>
          <w:sz w:val="21"/>
        </w:rPr>
        <w:t>属同一品种规格，皮细光滑，大小均匀，肉质脆嫩致密新鲜，无腐烂、畸形、裂痕、糠心、异味，不带泥沙，不带茎叶和须根。</w:t>
      </w:r>
    </w:p>
    <w:p>
      <w:pPr>
        <w:pStyle w:val="22"/>
        <w:shd w:val="clear"/>
        <w:ind w:firstLine="371"/>
        <w:jc w:val="both"/>
        <w:rPr>
          <w:color w:val="auto"/>
        </w:rPr>
      </w:pPr>
      <w:r>
        <w:rPr>
          <w:b/>
          <w:color w:val="auto"/>
          <w:sz w:val="21"/>
        </w:rPr>
        <w:t>薯芋类：</w:t>
      </w:r>
      <w:r>
        <w:rPr>
          <w:color w:val="auto"/>
          <w:sz w:val="21"/>
        </w:rPr>
        <w:t>淮山、粉葛、沙葛、马铃薯、芋头、姜等。</w:t>
      </w:r>
    </w:p>
    <w:p>
      <w:pPr>
        <w:pStyle w:val="22"/>
        <w:shd w:val="clear"/>
        <w:ind w:firstLine="369"/>
        <w:jc w:val="both"/>
        <w:rPr>
          <w:color w:val="auto"/>
        </w:rPr>
      </w:pPr>
      <w:r>
        <w:rPr>
          <w:color w:val="auto"/>
          <w:sz w:val="21"/>
        </w:rPr>
        <w:t>属同一品种规格，色泽一致，不带泥沙，不带须根、茎叶，不干瘪，无腐烂、畸形、异味、明显机械伤、病虫害斑，马铃薯无发芽，皮不变绿。</w:t>
      </w:r>
    </w:p>
    <w:p>
      <w:pPr>
        <w:pStyle w:val="22"/>
        <w:shd w:val="clear"/>
        <w:ind w:firstLine="371"/>
        <w:jc w:val="both"/>
        <w:rPr>
          <w:color w:val="auto"/>
        </w:rPr>
      </w:pPr>
      <w:r>
        <w:rPr>
          <w:b/>
          <w:color w:val="auto"/>
          <w:sz w:val="21"/>
        </w:rPr>
        <w:t>葱蒜类：</w:t>
      </w:r>
      <w:r>
        <w:rPr>
          <w:color w:val="auto"/>
          <w:sz w:val="21"/>
        </w:rPr>
        <w:t>葱、蒜、韭菜、洋葱等。</w:t>
      </w:r>
    </w:p>
    <w:p>
      <w:pPr>
        <w:pStyle w:val="22"/>
        <w:shd w:val="clear"/>
        <w:ind w:firstLine="369"/>
        <w:jc w:val="both"/>
        <w:rPr>
          <w:color w:val="auto"/>
        </w:rPr>
      </w:pPr>
      <w:r>
        <w:rPr>
          <w:color w:val="auto"/>
          <w:sz w:val="21"/>
        </w:rPr>
        <w:t>属同一品种规格，允许葱、青蒜类保留干净须根，葱、蒜、韭菜不带老叶，蒜头、洋葱去根去枯叶，可食部分新鲜幼嫩，无腐烂、畸形、异味。</w:t>
      </w:r>
    </w:p>
    <w:p>
      <w:pPr>
        <w:pStyle w:val="22"/>
        <w:shd w:val="clear"/>
        <w:ind w:firstLine="371"/>
        <w:jc w:val="both"/>
        <w:rPr>
          <w:color w:val="auto"/>
        </w:rPr>
      </w:pPr>
      <w:r>
        <w:rPr>
          <w:b/>
          <w:color w:val="auto"/>
          <w:sz w:val="21"/>
        </w:rPr>
        <w:t>豆类：</w:t>
      </w:r>
      <w:r>
        <w:rPr>
          <w:color w:val="auto"/>
          <w:sz w:val="21"/>
        </w:rPr>
        <w:t>扁豆、豌豆、毛豆、荷兰豆、四季豆等。</w:t>
      </w:r>
    </w:p>
    <w:p>
      <w:pPr>
        <w:pStyle w:val="22"/>
        <w:shd w:val="clear"/>
        <w:ind w:firstLine="369"/>
        <w:jc w:val="both"/>
        <w:rPr>
          <w:color w:val="auto"/>
        </w:rPr>
      </w:pPr>
      <w:r>
        <w:rPr>
          <w:color w:val="auto"/>
          <w:sz w:val="21"/>
        </w:rPr>
        <w:t>属同一品种规格，形态完整，成熟度适中，无腐烂、畸形、异味，豆荚类新鲜、幼嫩、均匀，豆仁类籽粒饱满，较均匀，无发芽，不带泥土杂质。</w:t>
      </w:r>
    </w:p>
    <w:p>
      <w:pPr>
        <w:pStyle w:val="22"/>
        <w:shd w:val="clear"/>
        <w:ind w:firstLine="371"/>
        <w:jc w:val="both"/>
        <w:rPr>
          <w:color w:val="auto"/>
        </w:rPr>
      </w:pPr>
      <w:r>
        <w:rPr>
          <w:b/>
          <w:color w:val="auto"/>
          <w:sz w:val="21"/>
        </w:rPr>
        <w:t>水生菜类：</w:t>
      </w:r>
      <w:r>
        <w:rPr>
          <w:color w:val="auto"/>
          <w:sz w:val="21"/>
        </w:rPr>
        <w:t>藕、慈菇、茭白、马蹄、菱等。</w:t>
      </w:r>
    </w:p>
    <w:p>
      <w:pPr>
        <w:pStyle w:val="22"/>
        <w:shd w:val="clear"/>
        <w:ind w:firstLine="369"/>
        <w:jc w:val="both"/>
        <w:rPr>
          <w:color w:val="auto"/>
        </w:rPr>
      </w:pPr>
      <w:r>
        <w:rPr>
          <w:color w:val="auto"/>
          <w:sz w:val="21"/>
        </w:rPr>
        <w:t>属同一品种规格，肉质嫩，成熟度适中，无腐烂、畸形、异味，无明显机械伤，不带泥土和杂质，不干瘪，茭白不黑心。</w:t>
      </w:r>
    </w:p>
    <w:p>
      <w:pPr>
        <w:pStyle w:val="22"/>
        <w:shd w:val="clear"/>
        <w:ind w:firstLine="371"/>
        <w:jc w:val="both"/>
        <w:rPr>
          <w:color w:val="auto"/>
        </w:rPr>
      </w:pPr>
      <w:r>
        <w:rPr>
          <w:b/>
          <w:color w:val="auto"/>
          <w:sz w:val="21"/>
        </w:rPr>
        <w:t>食用菌类：</w:t>
      </w:r>
      <w:r>
        <w:rPr>
          <w:color w:val="auto"/>
          <w:sz w:val="21"/>
        </w:rPr>
        <w:t>蘑菇、草菇、香菇、木耳等。</w:t>
      </w:r>
    </w:p>
    <w:p>
      <w:pPr>
        <w:pStyle w:val="22"/>
        <w:shd w:val="clear"/>
        <w:ind w:firstLine="369"/>
        <w:jc w:val="both"/>
        <w:rPr>
          <w:color w:val="auto"/>
        </w:rPr>
      </w:pPr>
      <w:r>
        <w:rPr>
          <w:color w:val="auto"/>
          <w:sz w:val="21"/>
        </w:rPr>
        <w:t>属同一品种规格，蘑菇、草菇菌盖圆整略展开，柄粗壮，菌膜紧，菇柄切削平整，不浸泡水（蘑菇允许浸盐水保鲜），新鲜，无杂质，无畸形菇，无腐烂、异味。</w:t>
      </w:r>
    </w:p>
    <w:p>
      <w:pPr>
        <w:pStyle w:val="22"/>
        <w:shd w:val="clear"/>
        <w:ind w:firstLine="371"/>
        <w:jc w:val="both"/>
        <w:rPr>
          <w:color w:val="auto"/>
        </w:rPr>
      </w:pPr>
      <w:r>
        <w:rPr>
          <w:b/>
          <w:color w:val="auto"/>
          <w:sz w:val="21"/>
        </w:rPr>
        <w:t>芽苗类：</w:t>
      </w:r>
      <w:r>
        <w:rPr>
          <w:color w:val="auto"/>
          <w:sz w:val="21"/>
        </w:rPr>
        <w:t>绿豆芽、黄豆芽、香樁苗等。</w:t>
      </w:r>
    </w:p>
    <w:p>
      <w:pPr>
        <w:pStyle w:val="22"/>
        <w:shd w:val="clear"/>
        <w:ind w:firstLine="369"/>
        <w:jc w:val="both"/>
        <w:rPr>
          <w:color w:val="auto"/>
        </w:rPr>
      </w:pPr>
      <w:r>
        <w:rPr>
          <w:color w:val="auto"/>
          <w:sz w:val="21"/>
        </w:rPr>
        <w:t>芽苗幼嫩，不带豆壳杂质，新鲜，不浸水，无腐烂、异味。</w:t>
      </w:r>
    </w:p>
    <w:p>
      <w:pPr>
        <w:pStyle w:val="22"/>
        <w:shd w:val="clear"/>
        <w:ind w:firstLine="422"/>
        <w:jc w:val="both"/>
        <w:rPr>
          <w:color w:val="auto"/>
        </w:rPr>
      </w:pPr>
      <w:r>
        <w:rPr>
          <w:b/>
          <w:color w:val="auto"/>
          <w:sz w:val="21"/>
        </w:rPr>
        <w:t>香辛类：</w:t>
      </w:r>
      <w:r>
        <w:rPr>
          <w:color w:val="auto"/>
          <w:sz w:val="21"/>
        </w:rPr>
        <w:t>西芹、芹菜、香菜等。属同一品种规格，肉质鲜嫩形态好，色泽正常，无枯黄叶、病叶、泥土、明显机械伤和病虫害伤，无烧心焦边、腐烂等现象，具有该品种应有的味道。</w:t>
      </w:r>
    </w:p>
    <w:p>
      <w:pPr>
        <w:pStyle w:val="22"/>
        <w:shd w:val="clear"/>
        <w:ind w:firstLine="369"/>
        <w:jc w:val="both"/>
        <w:rPr>
          <w:color w:val="auto"/>
        </w:rPr>
      </w:pPr>
      <w:r>
        <w:rPr>
          <w:color w:val="auto"/>
          <w:sz w:val="21"/>
        </w:rPr>
        <w:t>3、食品供应链要求：</w:t>
      </w:r>
    </w:p>
    <w:p>
      <w:pPr>
        <w:pStyle w:val="22"/>
        <w:shd w:val="clear"/>
        <w:ind w:firstLine="369"/>
        <w:jc w:val="both"/>
        <w:rPr>
          <w:color w:val="auto"/>
        </w:rPr>
      </w:pPr>
      <w:r>
        <w:rPr>
          <w:color w:val="auto"/>
          <w:sz w:val="21"/>
        </w:rPr>
        <w:t>所有食品的来源必须清晰。蔬菜来源应当于受到地方政府部门监管的自有基地、商品菜基地或蔬菜专业流通市场，严禁收购散户农民的蔬菜供应。</w:t>
      </w:r>
    </w:p>
    <w:p>
      <w:pPr>
        <w:pStyle w:val="22"/>
        <w:shd w:val="clear"/>
        <w:ind w:firstLine="422"/>
        <w:jc w:val="both"/>
        <w:rPr>
          <w:color w:val="auto"/>
        </w:rPr>
      </w:pPr>
      <w:r>
        <w:rPr>
          <w:b/>
          <w:color w:val="auto"/>
          <w:sz w:val="21"/>
        </w:rPr>
        <w:t>（五）肉类要求：</w:t>
      </w:r>
    </w:p>
    <w:p>
      <w:pPr>
        <w:pStyle w:val="22"/>
        <w:shd w:val="clear"/>
        <w:ind w:firstLine="369"/>
        <w:jc w:val="both"/>
        <w:rPr>
          <w:color w:val="auto"/>
        </w:rPr>
      </w:pPr>
      <w:r>
        <w:rPr>
          <w:color w:val="auto"/>
          <w:sz w:val="21"/>
        </w:rPr>
        <w:t>所供货物应保持较好的外观和质量等级，符合国家食品部门的有关标准，保证无异味、无霉烂变质，肉类保证来源于正规肉联厂，供货时须提交肉联厂的验收单及当批次有效的动物检疫合格证复印件（原件备查），鲜肉确保每日新鲜、无异味。</w:t>
      </w:r>
    </w:p>
    <w:p>
      <w:pPr>
        <w:pStyle w:val="22"/>
        <w:shd w:val="clear"/>
        <w:ind w:firstLine="369"/>
        <w:jc w:val="both"/>
        <w:rPr>
          <w:color w:val="auto"/>
        </w:rPr>
      </w:pPr>
      <w:r>
        <w:rPr>
          <w:color w:val="auto"/>
          <w:sz w:val="21"/>
        </w:rPr>
        <w:t>新鲜光禽：光禽是指经宰杀去毛以后的鸡、鸭、鹅等禽类，质量好坏，是否新鲜，主要根据以下几方面来判别：喙有光泽、干燥、无粘液；新鲜的光禽眼睛明亮，充满整个眼窝；</w:t>
      </w:r>
    </w:p>
    <w:p>
      <w:pPr>
        <w:pStyle w:val="22"/>
        <w:shd w:val="clear"/>
        <w:ind w:firstLine="369"/>
        <w:jc w:val="both"/>
        <w:rPr>
          <w:color w:val="auto"/>
        </w:rPr>
      </w:pPr>
      <w:r>
        <w:rPr>
          <w:color w:val="auto"/>
          <w:sz w:val="21"/>
        </w:rPr>
        <w:t>口腔：新鲜的光禽口腔粘膜呈淡玫瑰色，有光泽、洁净、无异味；</w:t>
      </w:r>
    </w:p>
    <w:p>
      <w:pPr>
        <w:pStyle w:val="22"/>
        <w:shd w:val="clear"/>
        <w:ind w:firstLine="369"/>
        <w:jc w:val="both"/>
        <w:rPr>
          <w:color w:val="auto"/>
        </w:rPr>
      </w:pPr>
      <w:r>
        <w:rPr>
          <w:color w:val="auto"/>
          <w:sz w:val="21"/>
        </w:rPr>
        <w:t>皮肤：新鲜的光禽皮肤上毛孔隆起，表面干燥而紧缩，呈乳白色或淡黄色，稍带微红，无异味；</w:t>
      </w:r>
    </w:p>
    <w:p>
      <w:pPr>
        <w:pStyle w:val="22"/>
        <w:shd w:val="clear"/>
        <w:ind w:firstLine="369"/>
        <w:jc w:val="both"/>
        <w:rPr>
          <w:color w:val="auto"/>
        </w:rPr>
      </w:pPr>
      <w:r>
        <w:rPr>
          <w:color w:val="auto"/>
          <w:sz w:val="21"/>
        </w:rPr>
        <w:t>脂肪：新鲜的光禽脂肪呈淡黄色或黄色，有光泽，无异味；</w:t>
      </w:r>
    </w:p>
    <w:p>
      <w:pPr>
        <w:pStyle w:val="22"/>
        <w:shd w:val="clear"/>
        <w:ind w:firstLine="369"/>
        <w:jc w:val="both"/>
        <w:rPr>
          <w:color w:val="auto"/>
        </w:rPr>
      </w:pPr>
      <w:r>
        <w:rPr>
          <w:color w:val="auto"/>
          <w:sz w:val="21"/>
        </w:rPr>
        <w:t>肌肉：新鲜光禽肌肉结实，有弹性，有光泽，颈、腿部肌肉呈玫瑰红色变质的光禽肌肉松驰，湿润发粘，色变暗红，有明显腐败气味；</w:t>
      </w:r>
    </w:p>
    <w:p>
      <w:pPr>
        <w:pStyle w:val="22"/>
        <w:shd w:val="clear"/>
        <w:ind w:firstLine="369"/>
        <w:jc w:val="both"/>
        <w:rPr>
          <w:color w:val="auto"/>
        </w:rPr>
      </w:pPr>
      <w:r>
        <w:rPr>
          <w:color w:val="auto"/>
          <w:sz w:val="21"/>
        </w:rPr>
        <w:t>冷冻禽类食品解冻后净重量不少于90%，冷冻肉类食品解冻后净重量不少于92%，冷冻水产类食品解冻后净重量不少于82%，解冻时间为4小时以内（室温20℃）。所有冷冻食品要求清晰列出产品品牌、规格、类型、包装方式、包装净重、含冰量等相关参数；</w:t>
      </w:r>
    </w:p>
    <w:tbl>
      <w:tblPr>
        <w:tblStyle w:val="10"/>
        <w:tblW w:w="96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428"/>
        <w:gridCol w:w="8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b/>
                <w:color w:val="auto"/>
                <w:sz w:val="21"/>
              </w:rPr>
              <w:t>品名</w:t>
            </w:r>
          </w:p>
        </w:tc>
        <w:tc>
          <w:tcPr>
            <w:tcW w:w="8173" w:type="dxa"/>
            <w:shd w:val="clear" w:color="auto" w:fill="auto"/>
            <w:tcMar>
              <w:top w:w="0" w:type="dxa"/>
              <w:left w:w="0" w:type="dxa"/>
              <w:bottom w:w="0" w:type="dxa"/>
              <w:right w:w="0" w:type="dxa"/>
            </w:tcMar>
            <w:vAlign w:val="center"/>
          </w:tcPr>
          <w:p>
            <w:pPr>
              <w:pStyle w:val="22"/>
              <w:shd w:val="clear"/>
              <w:jc w:val="center"/>
              <w:rPr>
                <w:color w:val="auto"/>
              </w:rPr>
            </w:pPr>
            <w:r>
              <w:rPr>
                <w:b/>
                <w:color w:val="auto"/>
                <w:sz w:val="21"/>
              </w:rPr>
              <w:t>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瘦肉</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肉呈均匀的红色，有光泽，肉质紧密，有坚实感；肉的外表及切面微湿润，不粘手。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有皮上肉</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肥瘦比例不大于7：3，肉呈均匀的红色，有光泽，肉质紧密，有坚实感；肉的外表及切面微湿润，不粘手，脂肪洁白无霉点。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猪前排</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带颈骨及前五条排骨，肉体冻实而坚硬，敲之回音清脆，无化冻现象。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脊骨</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肉体冻实而坚硬，敲之回音清脆，无化冻现象。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猪蹄</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骨体冻实而坚硬，无化冻现象。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猪筒骨</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骨体冻实而坚硬，无化冻现象。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猪肝</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整体呈红褐色或棕黄色，有光泽，湿润，略有弹性，，组织结实，微实，肝叶完整，无脂肪，无寄生虫、炎症水疱、薄膜、无胆汁污染，略有鱼腥味。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牛羊肉</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解冻后的肌肉呈均匀的红色，有光泽，脂肪呈白色或微黄色，肌肉外表微干或风干膜，或外表湿润，但都不粘手，良质冻肉的肌肉结构紧密，有坚实感，肌纤维韧性强。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白条鸭</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表皮光滑，新鲜肥嫩，无内脏，每只不低于1公斤，鸭的眼球饱满或平坦，皮肤有光泽，在品种不同而呈黄、浅黄、淡红、灰白等色，鸭肉切面有光泽，外表微湿润，不粘手。解冻指压后的凹陷恢复慢，且不能完全恢复，具有鸭的正常气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边鸭</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表皮光滑，新鲜肥嫩，无头，无颈，无内脏，重约0.6-1公斤，外表微湿润，不粘手，解冻指压后的凹陷恢复慢，且不能完全恢复，具有鸭的正常气味。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白条鹅</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表皮光滑，新鲜肥嫩，无内脏，每只不低于1公斤，鹅的眼球饱满或平坦，皮肤有光泽，在品种不同而呈黄、浅黄、淡红、灰白等色，肌肉切面有光泽，外表微湿润，不粘手。解冻指压后的凹陷恢复慢，且不能完全恢复，具有鹅的正常气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白条鸡</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整鸡表皮光滑，新鲜肥嫩，有头颈，无内脏，规格从0.6-1.5公斤，鸡肉的眼球饱满或平坦，皮肤有光泽，在品种不同而呈黄、浅黄、淡红、灰白等色，鸡肉切面有光泽，外表微湿润，不粘手。解冻指压后的凹陷恢复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边鸡</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整鸡表皮光滑，新鲜肥嫩，无头，无颈，无内脏，每只不低于0.5公斤，鸡肉的眼球饱满或平坦，皮肤有光泽，在品种不同而呈黄、浅黄、淡红、灰白等色，鸡肉切面有光泽，外表微湿润，不粘手。解冻指压后的凹陷恢复慢，且不能完全恢复，具有鸡的正常气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鸡腿</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表皮光滑，无淤血，交货以干净、新鲜、无异味，大小适合规格为标准。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鸡翅</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肉质紧密，无污伤、无小毛，个体大小均匀。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鸡脚</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交货以干净、新鲜、无异味，大小适合规格要求为标准。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鸡蛋</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蛋壳清洁完整，色泽鲜明，无破损、裂纹，无霉斑，灯光透视时，整个蛋呈桔黄色至橙红色，蛋黄不见或略见阴影，没有霉味、酸味，臭味等不良气味，打开后蛋黄凸起、完整、有韧性，蛋白澄清、透明、稀稠分明，无异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皮蛋</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外表泥状包料完整、无霉斑，包料除掉后蛋壳亦完整无损，灯光透照蛋内容物凝固不动，打开观察，整个蛋凝固、不粘壳、清洁而有弹性，呈半透明的棕黄色，闻起来有芳香，无辛辣气。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咸蛋</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蛋壳亦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454" w:hRule="atLeast"/>
          <w:jc w:val="center"/>
        </w:trPr>
        <w:tc>
          <w:tcPr>
            <w:tcW w:w="1428" w:type="dxa"/>
            <w:shd w:val="clear" w:color="auto" w:fill="auto"/>
            <w:tcMar>
              <w:top w:w="0" w:type="dxa"/>
              <w:left w:w="0" w:type="dxa"/>
              <w:bottom w:w="0" w:type="dxa"/>
              <w:right w:w="0" w:type="dxa"/>
            </w:tcMar>
            <w:vAlign w:val="center"/>
          </w:tcPr>
          <w:p>
            <w:pPr>
              <w:pStyle w:val="22"/>
              <w:shd w:val="clear"/>
              <w:jc w:val="center"/>
              <w:rPr>
                <w:color w:val="auto"/>
              </w:rPr>
            </w:pPr>
            <w:r>
              <w:rPr>
                <w:color w:val="auto"/>
                <w:sz w:val="21"/>
              </w:rPr>
              <w:t>河鱼类</w:t>
            </w:r>
          </w:p>
        </w:tc>
        <w:tc>
          <w:tcPr>
            <w:tcW w:w="8173" w:type="dxa"/>
            <w:shd w:val="clear" w:color="auto" w:fill="auto"/>
            <w:tcMar>
              <w:top w:w="0" w:type="dxa"/>
              <w:left w:w="0" w:type="dxa"/>
              <w:bottom w:w="0" w:type="dxa"/>
              <w:right w:w="0" w:type="dxa"/>
            </w:tcMar>
            <w:vAlign w:val="center"/>
          </w:tcPr>
          <w:p>
            <w:pPr>
              <w:pStyle w:val="22"/>
              <w:shd w:val="clear"/>
              <w:jc w:val="both"/>
              <w:rPr>
                <w:color w:val="auto"/>
              </w:rPr>
            </w:pPr>
            <w:r>
              <w:rPr>
                <w:color w:val="auto"/>
                <w:sz w:val="21"/>
              </w:rPr>
              <w:t>角体健康，体态匀称，游动活泼，体色鲜明，体表光滑，眼睛亮丽，鳞片鳍条完好。</w:t>
            </w:r>
          </w:p>
        </w:tc>
      </w:tr>
    </w:tbl>
    <w:p>
      <w:pPr>
        <w:pStyle w:val="22"/>
        <w:shd w:val="clear"/>
        <w:ind w:firstLine="422" w:firstLineChars="200"/>
        <w:jc w:val="both"/>
        <w:rPr>
          <w:color w:val="auto"/>
        </w:rPr>
      </w:pPr>
      <w:r>
        <w:rPr>
          <w:b/>
          <w:color w:val="auto"/>
          <w:sz w:val="21"/>
        </w:rPr>
        <w:t>（六）腊肉、腊肠要求：</w:t>
      </w:r>
    </w:p>
    <w:p>
      <w:pPr>
        <w:pStyle w:val="22"/>
        <w:shd w:val="clear"/>
        <w:ind w:firstLine="420"/>
        <w:jc w:val="both"/>
        <w:rPr>
          <w:color w:val="auto"/>
        </w:rPr>
      </w:pPr>
      <w:r>
        <w:rPr>
          <w:color w:val="auto"/>
          <w:sz w:val="21"/>
        </w:rPr>
        <w:t>有商标、牌号、产地、卫生检验合格证，国家QS认证。表面干爽、肉呈鲜红色或暗红色，无霉变，无异味，脂肪透明或呈乳白色。</w:t>
      </w:r>
    </w:p>
    <w:p>
      <w:pPr>
        <w:pStyle w:val="22"/>
        <w:shd w:val="clear"/>
        <w:ind w:firstLine="420"/>
        <w:jc w:val="both"/>
        <w:rPr>
          <w:color w:val="auto"/>
        </w:rPr>
      </w:pPr>
      <w:r>
        <w:rPr>
          <w:color w:val="auto"/>
          <w:sz w:val="21"/>
        </w:rPr>
        <w:t>腊肉：符合国家食品部门的有关标准，良质腊肉色泽鲜明，肌肉暗红色，脂肪透明呈乳白色，肉干燥结实，带有固有的腊式香味。</w:t>
      </w:r>
    </w:p>
    <w:p>
      <w:pPr>
        <w:pStyle w:val="22"/>
        <w:shd w:val="clear"/>
        <w:ind w:firstLine="420"/>
        <w:jc w:val="both"/>
        <w:rPr>
          <w:color w:val="auto"/>
        </w:rPr>
      </w:pPr>
      <w:r>
        <w:rPr>
          <w:color w:val="auto"/>
          <w:sz w:val="21"/>
        </w:rPr>
        <w:t>腊肠：品质好的腊肠是肠衣干燥，不发霉，无粘液，肠衣与肉馅紧密联在一起，表面紧而有弹性，色泽均匀，肥肉色白，瘦肉色红，无灰色斑点，气味芳香。</w:t>
      </w:r>
    </w:p>
    <w:p>
      <w:pPr>
        <w:pStyle w:val="22"/>
        <w:shd w:val="clear"/>
        <w:ind w:firstLine="420"/>
        <w:jc w:val="both"/>
        <w:rPr>
          <w:color w:val="auto"/>
        </w:rPr>
      </w:pPr>
      <w:r>
        <w:rPr>
          <w:color w:val="auto"/>
          <w:sz w:val="21"/>
        </w:rPr>
        <w:t>火腿：表皮应干燥、皮质坚硬，火腿肌肉应是紧密且富有弹性，切面为深红色、色泽均匀；无酸败味或其它异味。</w:t>
      </w:r>
    </w:p>
    <w:p>
      <w:pPr>
        <w:pStyle w:val="22"/>
        <w:shd w:val="clear"/>
        <w:ind w:firstLine="422"/>
        <w:jc w:val="both"/>
        <w:rPr>
          <w:color w:val="auto"/>
        </w:rPr>
      </w:pPr>
      <w:r>
        <w:rPr>
          <w:b/>
          <w:color w:val="auto"/>
          <w:sz w:val="21"/>
        </w:rPr>
        <w:t>（七）干货制品的质量要求：</w:t>
      </w:r>
    </w:p>
    <w:p>
      <w:pPr>
        <w:pStyle w:val="22"/>
        <w:shd w:val="clear"/>
        <w:ind w:firstLine="420"/>
        <w:jc w:val="both"/>
        <w:rPr>
          <w:color w:val="auto"/>
        </w:rPr>
      </w:pPr>
      <w:r>
        <w:rPr>
          <w:color w:val="auto"/>
          <w:sz w:val="21"/>
        </w:rPr>
        <w:t>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22"/>
        <w:shd w:val="clear"/>
        <w:ind w:firstLine="422"/>
        <w:jc w:val="both"/>
        <w:rPr>
          <w:color w:val="auto"/>
        </w:rPr>
      </w:pPr>
      <w:r>
        <w:rPr>
          <w:b/>
          <w:color w:val="auto"/>
          <w:sz w:val="21"/>
        </w:rPr>
        <w:t>（八）面包糕点类的质量要求：</w:t>
      </w:r>
    </w:p>
    <w:p>
      <w:pPr>
        <w:pStyle w:val="22"/>
        <w:shd w:val="clear"/>
        <w:ind w:firstLine="420"/>
        <w:jc w:val="both"/>
        <w:rPr>
          <w:color w:val="auto"/>
        </w:rPr>
      </w:pPr>
      <w:r>
        <w:rPr>
          <w:color w:val="auto"/>
          <w:sz w:val="21"/>
        </w:rPr>
        <w:t>生产企业：必须具有《食品生产许可证》。</w:t>
      </w:r>
    </w:p>
    <w:p>
      <w:pPr>
        <w:pStyle w:val="22"/>
        <w:shd w:val="clear"/>
        <w:ind w:firstLine="420"/>
        <w:jc w:val="both"/>
        <w:rPr>
          <w:color w:val="auto"/>
        </w:rPr>
      </w:pPr>
      <w:r>
        <w:rPr>
          <w:color w:val="auto"/>
          <w:sz w:val="21"/>
        </w:rPr>
        <w:t>制作标准：符合GBT23780-2009糕点质量检验标准要求。</w:t>
      </w:r>
    </w:p>
    <w:p>
      <w:pPr>
        <w:pStyle w:val="22"/>
        <w:shd w:val="clear"/>
        <w:ind w:firstLine="420"/>
        <w:jc w:val="both"/>
        <w:rPr>
          <w:color w:val="auto"/>
        </w:rPr>
      </w:pPr>
      <w:r>
        <w:rPr>
          <w:color w:val="auto"/>
          <w:sz w:val="21"/>
        </w:rPr>
        <w:t>外观及口感标准：符合GB7100-2007糕点、饼干、面包卫生标准要求，符合GB/T 31059-2014裱花蛋糕糕点卫生标准要求，符合QB1252-91面包卫生标准要求。</w:t>
      </w:r>
    </w:p>
    <w:p>
      <w:pPr>
        <w:pStyle w:val="22"/>
        <w:shd w:val="clear"/>
        <w:ind w:firstLine="420"/>
        <w:jc w:val="both"/>
        <w:rPr>
          <w:color w:val="auto"/>
        </w:rPr>
      </w:pPr>
      <w:r>
        <w:rPr>
          <w:color w:val="auto"/>
          <w:sz w:val="21"/>
        </w:rPr>
        <w:t>感观指标：以上糕点、粉面类食品必须具有正常的色泽、气味和滋味，不得有酸败、霉变等杂味，食品内外不得有生虫、变质及其它外来污染物。</w:t>
      </w:r>
    </w:p>
    <w:p>
      <w:pPr>
        <w:pStyle w:val="22"/>
        <w:shd w:val="clear"/>
        <w:ind w:firstLine="420"/>
        <w:jc w:val="both"/>
        <w:rPr>
          <w:color w:val="auto"/>
        </w:rPr>
      </w:pPr>
      <w:r>
        <w:rPr>
          <w:color w:val="auto"/>
          <w:sz w:val="21"/>
        </w:rPr>
        <w:t>河粉，猪肠粉等以大米为原料，经浸泡、磨浆（粉碎）、发酵（或不发酵）、熟化、成型、冷却、包装等生产工艺加工而成的鲜湿米粉严格按照DB44/426-2007《湿米粉》质量要求执行，原辅料质量要求应符合国家相关质量标准及卫生安全标准，食品添加剂的使用应符合GB 2760的规定，不得添加硼砂、亚硫酸盐、吊白块等有毒有害物质。</w:t>
      </w:r>
    </w:p>
    <w:p>
      <w:pPr>
        <w:pStyle w:val="22"/>
        <w:shd w:val="clear"/>
        <w:ind w:firstLine="422"/>
        <w:jc w:val="both"/>
        <w:rPr>
          <w:color w:val="auto"/>
        </w:rPr>
      </w:pPr>
      <w:r>
        <w:rPr>
          <w:b/>
          <w:color w:val="auto"/>
          <w:sz w:val="21"/>
        </w:rPr>
        <w:t>（九）数量要求：</w:t>
      </w:r>
    </w:p>
    <w:p>
      <w:pPr>
        <w:pStyle w:val="22"/>
        <w:shd w:val="clear"/>
        <w:ind w:firstLine="420"/>
        <w:jc w:val="both"/>
        <w:rPr>
          <w:color w:val="auto"/>
        </w:rPr>
      </w:pPr>
      <w:r>
        <w:rPr>
          <w:color w:val="auto"/>
          <w:sz w:val="21"/>
        </w:rPr>
        <w:t>应保证斤、两的准确性；以采购人的验收数量为准，</w:t>
      </w:r>
      <w:r>
        <w:rPr>
          <w:rFonts w:hint="eastAsia"/>
          <w:color w:val="auto"/>
          <w:sz w:val="21"/>
          <w:lang w:eastAsia="zh-CN"/>
        </w:rPr>
        <w:t>供应商</w:t>
      </w:r>
      <w:r>
        <w:rPr>
          <w:color w:val="auto"/>
          <w:sz w:val="21"/>
        </w:rPr>
        <w:t>每次随货携带一式两联的送货清单，食品经双方验收后须签字确认；双方各持一份，全部作为收货与货款结算的凭证。</w:t>
      </w:r>
    </w:p>
    <w:p>
      <w:pPr>
        <w:pStyle w:val="22"/>
        <w:shd w:val="clear"/>
        <w:ind w:firstLine="422"/>
        <w:jc w:val="both"/>
        <w:rPr>
          <w:color w:val="auto"/>
        </w:rPr>
      </w:pPr>
      <w:r>
        <w:rPr>
          <w:b/>
          <w:color w:val="auto"/>
          <w:sz w:val="21"/>
        </w:rPr>
        <w:t>五、食品安全保障措施</w:t>
      </w:r>
    </w:p>
    <w:p>
      <w:pPr>
        <w:pStyle w:val="22"/>
        <w:shd w:val="clear"/>
        <w:ind w:firstLine="420"/>
        <w:jc w:val="both"/>
        <w:rPr>
          <w:color w:val="auto"/>
        </w:rPr>
      </w:pPr>
      <w:bookmarkStart w:id="0" w:name="_GoBack"/>
      <w:bookmarkEnd w:id="0"/>
      <w:r>
        <w:rPr>
          <w:color w:val="auto"/>
          <w:sz w:val="21"/>
        </w:rPr>
        <w:t>1、</w:t>
      </w:r>
      <w:r>
        <w:rPr>
          <w:rFonts w:hint="eastAsia"/>
          <w:color w:val="auto"/>
          <w:sz w:val="21"/>
          <w:lang w:eastAsia="zh-CN"/>
        </w:rPr>
        <w:t>供应商</w:t>
      </w:r>
      <w:r>
        <w:rPr>
          <w:color w:val="auto"/>
          <w:sz w:val="21"/>
        </w:rPr>
        <w:t>必须遵守国家规定的《食品安全法》、《农产品质量安全法》等法律和行政法规的规定，提供的货品必须符合国家有关卫生标准，保质、保量、保鲜，严禁配送假冒、变质、过期的农副产品。不合格的货品，</w:t>
      </w:r>
      <w:r>
        <w:rPr>
          <w:rFonts w:hint="eastAsia"/>
          <w:color w:val="auto"/>
          <w:sz w:val="21"/>
          <w:lang w:eastAsia="zh-CN"/>
        </w:rPr>
        <w:t>供应商</w:t>
      </w:r>
      <w:r>
        <w:rPr>
          <w:color w:val="auto"/>
          <w:sz w:val="21"/>
        </w:rPr>
        <w:t>必须包退包换。</w:t>
      </w:r>
    </w:p>
    <w:p>
      <w:pPr>
        <w:pStyle w:val="22"/>
        <w:shd w:val="clear"/>
        <w:ind w:firstLine="420"/>
        <w:jc w:val="both"/>
        <w:rPr>
          <w:color w:val="auto"/>
        </w:rPr>
      </w:pPr>
      <w:r>
        <w:rPr>
          <w:color w:val="auto"/>
          <w:sz w:val="21"/>
        </w:rPr>
        <w:t>2、</w:t>
      </w:r>
      <w:r>
        <w:rPr>
          <w:rFonts w:hint="eastAsia"/>
          <w:color w:val="auto"/>
          <w:sz w:val="21"/>
          <w:lang w:eastAsia="zh-CN"/>
        </w:rPr>
        <w:t>供应商</w:t>
      </w:r>
      <w:r>
        <w:rPr>
          <w:color w:val="auto"/>
          <w:sz w:val="21"/>
        </w:rPr>
        <w:t>须对采购人购买的食品分类用器具装载，不得混装，运输过程应采取相应的保鲜防护措施。</w:t>
      </w:r>
    </w:p>
    <w:p>
      <w:pPr>
        <w:pStyle w:val="22"/>
        <w:shd w:val="clear"/>
        <w:ind w:firstLine="420"/>
        <w:jc w:val="both"/>
        <w:rPr>
          <w:color w:val="auto"/>
        </w:rPr>
      </w:pPr>
      <w:r>
        <w:rPr>
          <w:color w:val="auto"/>
          <w:sz w:val="21"/>
        </w:rPr>
        <w:t>3、如因</w:t>
      </w:r>
      <w:r>
        <w:rPr>
          <w:rFonts w:hint="eastAsia"/>
          <w:color w:val="auto"/>
          <w:sz w:val="21"/>
          <w:lang w:eastAsia="zh-CN"/>
        </w:rPr>
        <w:t>供应商</w:t>
      </w:r>
      <w:r>
        <w:rPr>
          <w:color w:val="auto"/>
          <w:sz w:val="21"/>
        </w:rPr>
        <w:t>所送的食品引起食用者身体不适、发生食物中毒等问题，经质量检验部门确定是</w:t>
      </w:r>
      <w:r>
        <w:rPr>
          <w:rFonts w:hint="eastAsia"/>
          <w:color w:val="auto"/>
          <w:sz w:val="21"/>
          <w:lang w:eastAsia="zh-CN"/>
        </w:rPr>
        <w:t>供应商</w:t>
      </w:r>
      <w:r>
        <w:rPr>
          <w:color w:val="auto"/>
          <w:sz w:val="21"/>
        </w:rPr>
        <w:t>责任的，由</w:t>
      </w:r>
      <w:r>
        <w:rPr>
          <w:rFonts w:hint="eastAsia"/>
          <w:color w:val="auto"/>
          <w:sz w:val="21"/>
          <w:lang w:eastAsia="zh-CN"/>
        </w:rPr>
        <w:t>供应商</w:t>
      </w:r>
      <w:r>
        <w:rPr>
          <w:color w:val="auto"/>
          <w:sz w:val="21"/>
        </w:rPr>
        <w:t>承担全部经济赔偿与法律责任。</w:t>
      </w:r>
    </w:p>
    <w:p>
      <w:pPr>
        <w:pStyle w:val="22"/>
        <w:shd w:val="clear"/>
        <w:ind w:firstLine="420"/>
        <w:jc w:val="both"/>
        <w:rPr>
          <w:color w:val="auto"/>
        </w:rPr>
      </w:pPr>
      <w:r>
        <w:rPr>
          <w:color w:val="auto"/>
          <w:sz w:val="21"/>
        </w:rPr>
        <w:t>4、</w:t>
      </w:r>
      <w:r>
        <w:rPr>
          <w:rFonts w:hint="eastAsia"/>
          <w:color w:val="auto"/>
          <w:sz w:val="21"/>
          <w:lang w:eastAsia="zh-CN"/>
        </w:rPr>
        <w:t>供应商</w:t>
      </w:r>
      <w:r>
        <w:rPr>
          <w:color w:val="auto"/>
          <w:sz w:val="21"/>
        </w:rPr>
        <w:t>应充分理解并认真遵循本招标文件的要求，所提供的货物必须是满足招标文件要求。保证供应的货品均为正规生产的新鲜（冰鲜除外）检验合格、无毒、无辐射、无侵权货品，符合国家有关卫生、质量、包装和保质标准，要使用有效保质期内的货品，且其剩余保质期不得少于标注保质期的75%。</w:t>
      </w:r>
    </w:p>
    <w:p>
      <w:pPr>
        <w:pStyle w:val="22"/>
        <w:shd w:val="clear"/>
        <w:ind w:firstLine="420"/>
        <w:jc w:val="both"/>
        <w:rPr>
          <w:color w:val="auto"/>
        </w:rPr>
      </w:pPr>
      <w:r>
        <w:rPr>
          <w:color w:val="auto"/>
          <w:sz w:val="21"/>
        </w:rPr>
        <w:t>5、</w:t>
      </w:r>
      <w:r>
        <w:rPr>
          <w:rFonts w:hint="eastAsia"/>
          <w:color w:val="auto"/>
          <w:sz w:val="21"/>
          <w:lang w:eastAsia="zh-CN"/>
        </w:rPr>
        <w:t>供应商</w:t>
      </w:r>
      <w:r>
        <w:rPr>
          <w:color w:val="auto"/>
          <w:sz w:val="21"/>
        </w:rPr>
        <w:t>所供应的鲜鱼、肉类应保证每日新鲜，所供应的猪肉、牛肉、羊肉均为清远市区定点屠宰厂（场）经检疫和肉品品质检验合格的产品，由定点屠宰厂（场）加盖验讫印章并出具《畜产品检验证明》或《动物检疫合格证明》，出具《畜产品检验证明》或《动物检疫合格证明》的时间为小于24小时。所有产品应可追索。</w:t>
      </w:r>
      <w:r>
        <w:rPr>
          <w:rFonts w:hint="eastAsia"/>
          <w:color w:val="auto"/>
          <w:sz w:val="21"/>
          <w:lang w:eastAsia="zh-CN"/>
        </w:rPr>
        <w:t>供应商</w:t>
      </w:r>
      <w:r>
        <w:rPr>
          <w:color w:val="auto"/>
          <w:sz w:val="21"/>
        </w:rPr>
        <w:t>提供的蔬菜应就近采购并保证每日新鲜，取得食用农产品合格证的货品优先选择，且应符合食品安全法要求并可出具有效的《农产品检验报告》。所有供应的食品，配送商均应留样待检。采购人使用“农药测试卡”检验蔬菜农药含量，如含量超标要求</w:t>
      </w:r>
      <w:r>
        <w:rPr>
          <w:rFonts w:hint="eastAsia"/>
          <w:color w:val="auto"/>
          <w:sz w:val="21"/>
          <w:lang w:eastAsia="zh-CN"/>
        </w:rPr>
        <w:t>供应商</w:t>
      </w:r>
      <w:r>
        <w:rPr>
          <w:color w:val="auto"/>
          <w:sz w:val="21"/>
        </w:rPr>
        <w:t>无条件退货或换货，出现1次含量超标情况的，</w:t>
      </w:r>
      <w:r>
        <w:rPr>
          <w:rFonts w:hint="eastAsia"/>
          <w:color w:val="auto"/>
          <w:sz w:val="21"/>
          <w:lang w:eastAsia="zh-CN"/>
        </w:rPr>
        <w:t>供应商</w:t>
      </w:r>
      <w:r>
        <w:rPr>
          <w:rFonts w:hint="eastAsia"/>
          <w:color w:val="auto"/>
          <w:sz w:val="21"/>
          <w:lang w:val="en-US" w:eastAsia="zh-CN"/>
        </w:rPr>
        <w:t>应支付违约金</w:t>
      </w:r>
      <w:r>
        <w:rPr>
          <w:color w:val="auto"/>
          <w:sz w:val="21"/>
        </w:rPr>
        <w:t>人民币3000元，</w:t>
      </w:r>
      <w:r>
        <w:rPr>
          <w:rFonts w:hint="eastAsia"/>
          <w:color w:val="auto"/>
          <w:sz w:val="21"/>
          <w:lang w:val="en-US" w:eastAsia="zh-CN"/>
        </w:rPr>
        <w:t>违约金</w:t>
      </w:r>
      <w:r>
        <w:rPr>
          <w:color w:val="auto"/>
          <w:sz w:val="21"/>
        </w:rPr>
        <w:t>由当批次的供货结算款内扣除。出现3次以上含量超标情况的，采购人有权单方终止配送服务合同，依法另行选定配送商进行供货。</w:t>
      </w:r>
    </w:p>
    <w:p>
      <w:pPr>
        <w:pStyle w:val="22"/>
        <w:shd w:val="clear"/>
        <w:ind w:firstLine="420"/>
        <w:jc w:val="both"/>
        <w:rPr>
          <w:color w:val="auto"/>
        </w:rPr>
      </w:pPr>
      <w:r>
        <w:rPr>
          <w:color w:val="auto"/>
          <w:sz w:val="21"/>
        </w:rPr>
        <w:t>6、</w:t>
      </w:r>
      <w:r>
        <w:rPr>
          <w:rFonts w:hint="eastAsia"/>
          <w:color w:val="auto"/>
          <w:sz w:val="21"/>
          <w:lang w:eastAsia="zh-CN"/>
        </w:rPr>
        <w:t>供应商</w:t>
      </w:r>
      <w:r>
        <w:rPr>
          <w:color w:val="auto"/>
          <w:sz w:val="21"/>
        </w:rPr>
        <w:t>保证所提供的鲜肉类、生禽、鲜水产、蔬菜种类的多样性和季节性，以保证新鲜感。</w:t>
      </w:r>
    </w:p>
    <w:p>
      <w:pPr>
        <w:pStyle w:val="22"/>
        <w:shd w:val="clear"/>
        <w:ind w:firstLine="420"/>
        <w:jc w:val="both"/>
        <w:rPr>
          <w:color w:val="auto"/>
        </w:rPr>
      </w:pPr>
      <w:r>
        <w:rPr>
          <w:color w:val="auto"/>
          <w:sz w:val="21"/>
        </w:rPr>
        <w:t>7、货物有包装的，货物的包装必须完整清洁（无损、无污、无皱），采购人有权拒收包装不整齐、已拆封的商品。</w:t>
      </w:r>
    </w:p>
    <w:p>
      <w:pPr>
        <w:pStyle w:val="22"/>
        <w:shd w:val="clear"/>
        <w:ind w:firstLine="420"/>
        <w:jc w:val="both"/>
        <w:rPr>
          <w:color w:val="auto"/>
        </w:rPr>
      </w:pPr>
      <w:r>
        <w:rPr>
          <w:color w:val="auto"/>
          <w:sz w:val="21"/>
        </w:rPr>
        <w:t>8、采购人发现商品出现损坏（包括表面损坏），或出现水渍、串味、受潮等导致货物性质改变的，</w:t>
      </w:r>
      <w:r>
        <w:rPr>
          <w:rFonts w:hint="eastAsia"/>
          <w:color w:val="auto"/>
          <w:sz w:val="21"/>
          <w:lang w:eastAsia="zh-CN"/>
        </w:rPr>
        <w:t>供应商</w:t>
      </w:r>
      <w:r>
        <w:rPr>
          <w:color w:val="auto"/>
          <w:sz w:val="21"/>
        </w:rPr>
        <w:t>必须无条件退货或更换商品。</w:t>
      </w:r>
    </w:p>
    <w:p>
      <w:pPr>
        <w:pStyle w:val="22"/>
        <w:shd w:val="clear"/>
        <w:ind w:firstLine="420"/>
        <w:jc w:val="both"/>
        <w:rPr>
          <w:color w:val="auto"/>
        </w:rPr>
      </w:pPr>
      <w:r>
        <w:rPr>
          <w:color w:val="auto"/>
          <w:sz w:val="21"/>
        </w:rPr>
        <w:t>9、</w:t>
      </w:r>
      <w:r>
        <w:rPr>
          <w:rFonts w:hint="eastAsia"/>
          <w:color w:val="auto"/>
          <w:sz w:val="21"/>
          <w:lang w:eastAsia="zh-CN"/>
        </w:rPr>
        <w:t>供应商</w:t>
      </w:r>
      <w:r>
        <w:rPr>
          <w:color w:val="auto"/>
          <w:sz w:val="21"/>
        </w:rPr>
        <w:t>提供假冒伪劣、过期、变质、污染、有毒食品的，一经发现，除按采购人要求无条件退货或换货外，还将</w:t>
      </w:r>
      <w:r>
        <w:rPr>
          <w:rFonts w:hint="eastAsia"/>
          <w:color w:val="auto"/>
          <w:sz w:val="21"/>
          <w:lang w:val="en-US" w:eastAsia="zh-CN"/>
        </w:rPr>
        <w:t>承担如下违约责任</w:t>
      </w:r>
      <w:r>
        <w:rPr>
          <w:color w:val="auto"/>
          <w:sz w:val="21"/>
        </w:rPr>
        <w:t>：</w:t>
      </w:r>
    </w:p>
    <w:p>
      <w:pPr>
        <w:pStyle w:val="22"/>
        <w:shd w:val="clear"/>
        <w:ind w:firstLine="420"/>
        <w:jc w:val="both"/>
        <w:rPr>
          <w:color w:val="auto"/>
        </w:rPr>
      </w:pPr>
      <w:r>
        <w:rPr>
          <w:color w:val="auto"/>
          <w:sz w:val="21"/>
        </w:rPr>
        <w:t>（1）</w:t>
      </w:r>
      <w:r>
        <w:rPr>
          <w:rFonts w:hint="eastAsia"/>
          <w:color w:val="auto"/>
          <w:sz w:val="21"/>
          <w:lang w:eastAsia="zh-CN"/>
        </w:rPr>
        <w:t>供应商</w:t>
      </w:r>
      <w:r>
        <w:rPr>
          <w:color w:val="auto"/>
          <w:sz w:val="21"/>
        </w:rPr>
        <w:t>提供假冒伪劣、过期、变质食品的，采购人有权要求无条件退货或换货，</w:t>
      </w:r>
      <w:r>
        <w:rPr>
          <w:rFonts w:hint="eastAsia"/>
          <w:color w:val="auto"/>
          <w:sz w:val="21"/>
          <w:lang w:eastAsia="zh-CN"/>
        </w:rPr>
        <w:t>供应商</w:t>
      </w:r>
      <w:r>
        <w:rPr>
          <w:rFonts w:hint="eastAsia"/>
          <w:color w:val="auto"/>
          <w:sz w:val="21"/>
          <w:lang w:val="en-US" w:eastAsia="zh-CN"/>
        </w:rPr>
        <w:t>还应当</w:t>
      </w:r>
      <w:r>
        <w:rPr>
          <w:color w:val="auto"/>
          <w:sz w:val="21"/>
        </w:rPr>
        <w:t>以当次供应食品货款2倍的</w:t>
      </w:r>
      <w:r>
        <w:rPr>
          <w:rFonts w:hint="eastAsia"/>
          <w:color w:val="auto"/>
          <w:sz w:val="21"/>
          <w:lang w:val="en-US" w:eastAsia="zh-CN"/>
        </w:rPr>
        <w:t>金额支付违约金</w:t>
      </w:r>
      <w:r>
        <w:rPr>
          <w:color w:val="auto"/>
          <w:sz w:val="21"/>
        </w:rPr>
        <w:t>，</w:t>
      </w:r>
      <w:r>
        <w:rPr>
          <w:rFonts w:hint="eastAsia"/>
          <w:color w:val="auto"/>
          <w:sz w:val="21"/>
          <w:lang w:val="en-US" w:eastAsia="zh-CN"/>
        </w:rPr>
        <w:t>违约金</w:t>
      </w:r>
      <w:r>
        <w:rPr>
          <w:color w:val="auto"/>
          <w:sz w:val="21"/>
        </w:rPr>
        <w:t>由供货结算款内扣除。</w:t>
      </w:r>
    </w:p>
    <w:p>
      <w:pPr>
        <w:pStyle w:val="22"/>
        <w:shd w:val="clear"/>
        <w:ind w:firstLine="420"/>
        <w:jc w:val="both"/>
        <w:rPr>
          <w:color w:val="auto"/>
        </w:rPr>
      </w:pPr>
      <w:r>
        <w:rPr>
          <w:color w:val="auto"/>
          <w:sz w:val="21"/>
        </w:rPr>
        <w:t>（2）</w:t>
      </w:r>
      <w:r>
        <w:rPr>
          <w:rFonts w:hint="eastAsia"/>
          <w:color w:val="auto"/>
          <w:sz w:val="21"/>
          <w:lang w:eastAsia="zh-CN"/>
        </w:rPr>
        <w:t>供应商</w:t>
      </w:r>
      <w:r>
        <w:rPr>
          <w:color w:val="auto"/>
          <w:sz w:val="21"/>
        </w:rPr>
        <w:t>若提供污染、有毒食品，造成食品安全事故的，经有关单位鉴定原因后，如确实为</w:t>
      </w:r>
      <w:r>
        <w:rPr>
          <w:rFonts w:hint="eastAsia"/>
          <w:color w:val="auto"/>
          <w:sz w:val="21"/>
          <w:lang w:eastAsia="zh-CN"/>
        </w:rPr>
        <w:t>供应商</w:t>
      </w:r>
      <w:r>
        <w:rPr>
          <w:color w:val="auto"/>
          <w:sz w:val="21"/>
        </w:rPr>
        <w:t>提供的食品问题，</w:t>
      </w:r>
      <w:r>
        <w:rPr>
          <w:rFonts w:hint="eastAsia"/>
          <w:color w:val="auto"/>
          <w:sz w:val="21"/>
          <w:lang w:eastAsia="zh-CN"/>
        </w:rPr>
        <w:t>供应商</w:t>
      </w:r>
      <w:r>
        <w:rPr>
          <w:color w:val="auto"/>
          <w:sz w:val="21"/>
        </w:rPr>
        <w:t>须负担全数的医药费，采购人有权单方面终止合同，</w:t>
      </w:r>
      <w:r>
        <w:rPr>
          <w:rFonts w:hint="eastAsia"/>
          <w:color w:val="auto"/>
          <w:sz w:val="21"/>
          <w:lang w:eastAsia="zh-CN"/>
        </w:rPr>
        <w:t>供应商</w:t>
      </w:r>
      <w:r>
        <w:rPr>
          <w:color w:val="auto"/>
          <w:sz w:val="21"/>
        </w:rPr>
        <w:t>应承担由此造成的一切损失，同时承担相应的民事及刑事法律责任及放弃先诉抗辩权。</w:t>
      </w:r>
    </w:p>
    <w:p>
      <w:pPr>
        <w:pStyle w:val="22"/>
        <w:shd w:val="clear"/>
        <w:ind w:firstLine="422"/>
        <w:jc w:val="both"/>
        <w:rPr>
          <w:color w:val="auto"/>
        </w:rPr>
      </w:pPr>
      <w:r>
        <w:rPr>
          <w:b/>
          <w:color w:val="auto"/>
          <w:sz w:val="21"/>
        </w:rPr>
        <w:t>六、运输配送要求</w:t>
      </w:r>
    </w:p>
    <w:p>
      <w:pPr>
        <w:pStyle w:val="22"/>
        <w:shd w:val="clear"/>
        <w:ind w:firstLine="420"/>
        <w:jc w:val="both"/>
        <w:rPr>
          <w:color w:val="auto"/>
        </w:rPr>
      </w:pPr>
      <w:r>
        <w:rPr>
          <w:color w:val="auto"/>
          <w:sz w:val="21"/>
        </w:rPr>
        <w:t>1、</w:t>
      </w:r>
      <w:r>
        <w:rPr>
          <w:rFonts w:hint="eastAsia"/>
          <w:color w:val="auto"/>
          <w:sz w:val="21"/>
          <w:lang w:eastAsia="zh-CN"/>
        </w:rPr>
        <w:t>供应商</w:t>
      </w:r>
      <w:r>
        <w:rPr>
          <w:color w:val="auto"/>
          <w:sz w:val="21"/>
        </w:rPr>
        <w:t>应保证每天早上将所订的货品按照约定时间送至采购人指定地点，运输车辆内外必须清洁干净，无污渍，无异味。</w:t>
      </w:r>
    </w:p>
    <w:p>
      <w:pPr>
        <w:pStyle w:val="22"/>
        <w:shd w:val="clear"/>
        <w:ind w:firstLine="420"/>
        <w:jc w:val="both"/>
        <w:rPr>
          <w:color w:val="auto"/>
        </w:rPr>
      </w:pPr>
      <w:r>
        <w:rPr>
          <w:color w:val="auto"/>
          <w:sz w:val="21"/>
        </w:rPr>
        <w:t>2、如采购人需要临时应急增加补货，</w:t>
      </w:r>
      <w:r>
        <w:rPr>
          <w:rFonts w:hint="eastAsia"/>
          <w:color w:val="auto"/>
          <w:sz w:val="21"/>
          <w:lang w:eastAsia="zh-CN"/>
        </w:rPr>
        <w:t>供应商</w:t>
      </w:r>
      <w:r>
        <w:rPr>
          <w:color w:val="auto"/>
          <w:sz w:val="21"/>
        </w:rPr>
        <w:t>必须在约定时间内将货物保质保量送到采购人指定地点，送错货物累计达3次（含）以上</w:t>
      </w:r>
      <w:r>
        <w:rPr>
          <w:rFonts w:hint="eastAsia"/>
          <w:color w:val="auto"/>
          <w:sz w:val="21"/>
          <w:lang w:eastAsia="zh-CN"/>
        </w:rPr>
        <w:t>，</w:t>
      </w:r>
      <w:r>
        <w:rPr>
          <w:rFonts w:hint="eastAsia"/>
          <w:color w:val="auto"/>
          <w:sz w:val="21"/>
          <w:lang w:val="en-US" w:eastAsia="zh-CN"/>
        </w:rPr>
        <w:t>按</w:t>
      </w:r>
      <w:r>
        <w:rPr>
          <w:color w:val="auto"/>
          <w:sz w:val="21"/>
        </w:rPr>
        <w:t>当次货款的10%</w:t>
      </w:r>
      <w:r>
        <w:rPr>
          <w:rFonts w:hint="eastAsia"/>
          <w:color w:val="auto"/>
          <w:sz w:val="21"/>
          <w:lang w:val="en-US" w:eastAsia="zh-CN"/>
        </w:rPr>
        <w:t>支付违约金</w:t>
      </w:r>
      <w:r>
        <w:rPr>
          <w:color w:val="auto"/>
          <w:sz w:val="21"/>
        </w:rPr>
        <w:t>，超时每次</w:t>
      </w:r>
      <w:r>
        <w:rPr>
          <w:rFonts w:hint="eastAsia"/>
          <w:color w:val="auto"/>
          <w:sz w:val="21"/>
          <w:lang w:val="en-US" w:eastAsia="zh-CN"/>
        </w:rPr>
        <w:t>支付违约金</w:t>
      </w:r>
      <w:r>
        <w:rPr>
          <w:color w:val="auto"/>
          <w:sz w:val="21"/>
        </w:rPr>
        <w:t>500元。</w:t>
      </w:r>
      <w:r>
        <w:rPr>
          <w:rFonts w:hint="eastAsia"/>
          <w:color w:val="auto"/>
          <w:sz w:val="21"/>
          <w:lang w:eastAsia="zh-CN"/>
        </w:rPr>
        <w:t>供应商</w:t>
      </w:r>
      <w:r>
        <w:rPr>
          <w:color w:val="auto"/>
          <w:sz w:val="21"/>
        </w:rPr>
        <w:t>提供的货品质量未达到相关标准达3次（含）以上的，采购人有权单方面终止合同，</w:t>
      </w:r>
      <w:r>
        <w:rPr>
          <w:rFonts w:hint="eastAsia"/>
          <w:color w:val="auto"/>
          <w:sz w:val="21"/>
          <w:lang w:eastAsia="zh-CN"/>
        </w:rPr>
        <w:t>供应商</w:t>
      </w:r>
      <w:r>
        <w:rPr>
          <w:color w:val="auto"/>
          <w:sz w:val="21"/>
        </w:rPr>
        <w:t>应承担由此造成的一切损失和责任。合同履约期间，</w:t>
      </w:r>
      <w:r>
        <w:rPr>
          <w:rFonts w:hint="eastAsia"/>
          <w:color w:val="auto"/>
          <w:sz w:val="21"/>
          <w:lang w:eastAsia="zh-CN"/>
        </w:rPr>
        <w:t>供应商</w:t>
      </w:r>
      <w:r>
        <w:rPr>
          <w:color w:val="auto"/>
          <w:sz w:val="21"/>
        </w:rPr>
        <w:t>不能委托其他公司送货。</w:t>
      </w:r>
    </w:p>
    <w:p>
      <w:pPr>
        <w:pStyle w:val="22"/>
        <w:shd w:val="clear"/>
        <w:ind w:firstLine="420"/>
        <w:jc w:val="both"/>
        <w:rPr>
          <w:color w:val="auto"/>
        </w:rPr>
      </w:pPr>
      <w:r>
        <w:rPr>
          <w:color w:val="auto"/>
          <w:sz w:val="21"/>
        </w:rPr>
        <w:t>3、</w:t>
      </w:r>
      <w:r>
        <w:rPr>
          <w:rFonts w:hint="eastAsia"/>
          <w:color w:val="auto"/>
          <w:sz w:val="21"/>
          <w:lang w:eastAsia="zh-CN"/>
        </w:rPr>
        <w:t>供应商</w:t>
      </w:r>
      <w:r>
        <w:rPr>
          <w:color w:val="auto"/>
          <w:sz w:val="21"/>
        </w:rPr>
        <w:t>应当根据采购人的实际情况，按照与采购人的约定，在规定的时间内将预定的货物如数送到指定地点。如遇不可抗力因素而造成配送延误时，</w:t>
      </w:r>
      <w:r>
        <w:rPr>
          <w:rFonts w:hint="eastAsia"/>
          <w:color w:val="auto"/>
          <w:sz w:val="21"/>
          <w:lang w:eastAsia="zh-CN"/>
        </w:rPr>
        <w:t>供应商</w:t>
      </w:r>
      <w:r>
        <w:rPr>
          <w:color w:val="auto"/>
          <w:sz w:val="21"/>
        </w:rPr>
        <w:t>应提前通知采购人，并配合采购人共同解决。除发生客观不可抗力的情况外，</w:t>
      </w:r>
      <w:r>
        <w:rPr>
          <w:rFonts w:hint="eastAsia"/>
          <w:color w:val="auto"/>
          <w:sz w:val="21"/>
          <w:lang w:eastAsia="zh-CN"/>
        </w:rPr>
        <w:t>供应商</w:t>
      </w:r>
      <w:r>
        <w:rPr>
          <w:color w:val="auto"/>
          <w:sz w:val="21"/>
        </w:rPr>
        <w:t>不得推迟送货。如确需延迟送货的，</w:t>
      </w:r>
      <w:r>
        <w:rPr>
          <w:rFonts w:hint="eastAsia"/>
          <w:color w:val="auto"/>
          <w:sz w:val="21"/>
          <w:lang w:eastAsia="zh-CN"/>
        </w:rPr>
        <w:t>供应商</w:t>
      </w:r>
      <w:r>
        <w:rPr>
          <w:color w:val="auto"/>
          <w:sz w:val="21"/>
        </w:rPr>
        <w:t>应在得知情况的同时告知并征得采购人同意，由于</w:t>
      </w:r>
      <w:r>
        <w:rPr>
          <w:rFonts w:hint="eastAsia"/>
          <w:color w:val="auto"/>
          <w:sz w:val="21"/>
          <w:lang w:eastAsia="zh-CN"/>
        </w:rPr>
        <w:t>供应商</w:t>
      </w:r>
      <w:r>
        <w:rPr>
          <w:color w:val="auto"/>
          <w:sz w:val="21"/>
        </w:rPr>
        <w:t>延误而造成采购人利益受损的，采购人有权要求</w:t>
      </w:r>
      <w:r>
        <w:rPr>
          <w:rFonts w:hint="eastAsia"/>
          <w:color w:val="auto"/>
          <w:sz w:val="21"/>
          <w:lang w:eastAsia="zh-CN"/>
        </w:rPr>
        <w:t>供应商</w:t>
      </w:r>
      <w:r>
        <w:rPr>
          <w:color w:val="auto"/>
          <w:sz w:val="21"/>
        </w:rPr>
        <w:t>赔偿，出现3次上述情况的，由采购人在供货结算款内直接</w:t>
      </w:r>
      <w:r>
        <w:rPr>
          <w:rFonts w:hint="eastAsia"/>
          <w:color w:val="auto"/>
          <w:sz w:val="21"/>
          <w:lang w:val="en-US" w:eastAsia="zh-CN"/>
        </w:rPr>
        <w:t>扣除违约金</w:t>
      </w:r>
      <w:r>
        <w:rPr>
          <w:color w:val="auto"/>
          <w:sz w:val="21"/>
        </w:rPr>
        <w:t>人民币5000元。</w:t>
      </w:r>
    </w:p>
    <w:p>
      <w:pPr>
        <w:pStyle w:val="22"/>
        <w:shd w:val="clear"/>
        <w:ind w:firstLine="420"/>
        <w:jc w:val="both"/>
        <w:rPr>
          <w:color w:val="auto"/>
        </w:rPr>
      </w:pPr>
      <w:r>
        <w:rPr>
          <w:color w:val="auto"/>
          <w:sz w:val="21"/>
        </w:rPr>
        <w:t>4、为保证食品的新鲜并能及时配送，</w:t>
      </w:r>
      <w:r>
        <w:rPr>
          <w:rFonts w:hint="eastAsia"/>
          <w:color w:val="auto"/>
          <w:sz w:val="21"/>
          <w:lang w:eastAsia="zh-CN"/>
        </w:rPr>
        <w:t>供应商</w:t>
      </w:r>
      <w:r>
        <w:rPr>
          <w:color w:val="auto"/>
          <w:sz w:val="21"/>
        </w:rPr>
        <w:t>应在项目所在区域就近设立仓库和冷库，负责食品的存储，采购人不提供仓储场地。</w:t>
      </w:r>
      <w:r>
        <w:rPr>
          <w:rFonts w:hint="eastAsia"/>
          <w:color w:val="auto"/>
          <w:sz w:val="21"/>
          <w:lang w:eastAsia="zh-CN"/>
        </w:rPr>
        <w:t>供应商</w:t>
      </w:r>
      <w:r>
        <w:rPr>
          <w:color w:val="auto"/>
          <w:sz w:val="21"/>
        </w:rPr>
        <w:t>须承诺如中标后将准时送货到采购人指定地点，采购人不另行支付配送交通费。</w:t>
      </w:r>
    </w:p>
    <w:p>
      <w:pPr>
        <w:pStyle w:val="22"/>
        <w:shd w:val="clear"/>
        <w:ind w:firstLine="420"/>
        <w:jc w:val="both"/>
        <w:rPr>
          <w:color w:val="auto"/>
        </w:rPr>
      </w:pPr>
      <w:r>
        <w:rPr>
          <w:color w:val="auto"/>
          <w:sz w:val="21"/>
        </w:rPr>
        <w:t>5、</w:t>
      </w:r>
      <w:r>
        <w:rPr>
          <w:rFonts w:hint="eastAsia"/>
          <w:color w:val="auto"/>
          <w:sz w:val="21"/>
          <w:lang w:eastAsia="zh-CN"/>
        </w:rPr>
        <w:t>供应商</w:t>
      </w:r>
      <w:r>
        <w:rPr>
          <w:color w:val="auto"/>
          <w:sz w:val="21"/>
        </w:rPr>
        <w:t>应根据采购人实际要求运送货物，必要时应进行免费的</w:t>
      </w:r>
      <w:r>
        <w:rPr>
          <w:color w:val="auto"/>
          <w:sz w:val="21"/>
          <w:shd w:val="clear" w:fill="FFFFFF"/>
        </w:rPr>
        <w:t>肉类蔬菜预处理：</w:t>
      </w:r>
      <w:r>
        <w:rPr>
          <w:rFonts w:hint="eastAsia"/>
          <w:color w:val="auto"/>
          <w:sz w:val="21"/>
          <w:shd w:val="clear" w:fill="FFFFFF"/>
          <w:lang w:eastAsia="zh-CN"/>
        </w:rPr>
        <w:t>供应商</w:t>
      </w:r>
      <w:r>
        <w:rPr>
          <w:color w:val="auto"/>
          <w:sz w:val="21"/>
          <w:shd w:val="clear" w:fill="FFFFFF"/>
        </w:rPr>
        <w:t>应具有肉类、蔬菜（除鱼类及采购人要求在采购人食堂初加工的种类外）加工车间，配备有切肉机、搅拌机、排骨切粒机、切菜机、真空充氮气包装机等肉类和蔬菜的机械化加工设备，可每次根据采购人通知订购品种及数量后，并按照采购人要求对食材进行免费的加工（如排骨、猪肉、鸡肉、鸭肉等食材切块，不得收取任何加工费用），蔬菜类的每次根据采购人的通知订购品种和数量后，进行免费的预处理（如摘菜、清洗、去皮、真空包装等工序），采用食品级真空包装袋包装，以保证食材在运输过程中不会受到二次污染，并在加工后将半成品抽真空充气（惰性气体，如氮气）密封好，贴上农场品标签配送至采购人，且应在采购人下单人员要求的时间内完成切割清洗等工作。采购人指定负责人验收过秤记录，对于不符合质量的品种采购人可退货或换货。</w:t>
      </w:r>
    </w:p>
    <w:p>
      <w:pPr>
        <w:pStyle w:val="22"/>
        <w:shd w:val="clear"/>
        <w:ind w:firstLine="420"/>
        <w:jc w:val="both"/>
        <w:rPr>
          <w:color w:val="auto"/>
        </w:rPr>
      </w:pPr>
      <w:r>
        <w:rPr>
          <w:color w:val="auto"/>
          <w:sz w:val="21"/>
        </w:rPr>
        <w:t>6、在采购人签收之前，货物的所有权和一切风险属于</w:t>
      </w:r>
      <w:r>
        <w:rPr>
          <w:rFonts w:hint="eastAsia"/>
          <w:color w:val="auto"/>
          <w:sz w:val="21"/>
          <w:lang w:eastAsia="zh-CN"/>
        </w:rPr>
        <w:t>供应商</w:t>
      </w:r>
      <w:r>
        <w:rPr>
          <w:color w:val="auto"/>
          <w:sz w:val="21"/>
        </w:rPr>
        <w:t>，货物发生遗失、损坏由</w:t>
      </w:r>
      <w:r>
        <w:rPr>
          <w:rFonts w:hint="eastAsia"/>
          <w:color w:val="auto"/>
          <w:sz w:val="21"/>
          <w:lang w:eastAsia="zh-CN"/>
        </w:rPr>
        <w:t>供应商</w:t>
      </w:r>
      <w:r>
        <w:rPr>
          <w:color w:val="auto"/>
          <w:sz w:val="21"/>
        </w:rPr>
        <w:t>负责。</w:t>
      </w:r>
    </w:p>
    <w:p>
      <w:pPr>
        <w:pStyle w:val="22"/>
        <w:shd w:val="clear"/>
        <w:ind w:firstLine="420"/>
        <w:jc w:val="both"/>
        <w:rPr>
          <w:color w:val="auto"/>
        </w:rPr>
      </w:pPr>
      <w:r>
        <w:rPr>
          <w:color w:val="auto"/>
          <w:sz w:val="21"/>
        </w:rPr>
        <w:t>7、</w:t>
      </w:r>
      <w:r>
        <w:rPr>
          <w:rFonts w:hint="eastAsia"/>
          <w:color w:val="auto"/>
          <w:sz w:val="21"/>
          <w:lang w:eastAsia="zh-CN"/>
        </w:rPr>
        <w:t>供应商</w:t>
      </w:r>
      <w:r>
        <w:rPr>
          <w:color w:val="auto"/>
          <w:sz w:val="21"/>
        </w:rPr>
        <w:t>须严格按照采购人的指令配送商品的数量，不得随意增减数量，否则采购人有权拒收。</w:t>
      </w:r>
    </w:p>
    <w:p>
      <w:pPr>
        <w:pStyle w:val="22"/>
        <w:shd w:val="clear"/>
        <w:ind w:firstLine="420"/>
        <w:jc w:val="both"/>
        <w:rPr>
          <w:color w:val="auto"/>
        </w:rPr>
      </w:pPr>
      <w:r>
        <w:rPr>
          <w:color w:val="auto"/>
          <w:sz w:val="21"/>
        </w:rPr>
        <w:t>8、除客观不可抗力因素外，</w:t>
      </w:r>
      <w:r>
        <w:rPr>
          <w:rFonts w:hint="eastAsia"/>
          <w:color w:val="auto"/>
          <w:sz w:val="21"/>
          <w:lang w:eastAsia="zh-CN"/>
        </w:rPr>
        <w:t>供应商</w:t>
      </w:r>
      <w:r>
        <w:rPr>
          <w:color w:val="auto"/>
          <w:sz w:val="21"/>
        </w:rPr>
        <w:t>不得更改送货内容。如因市场流通问题确实需要变更供货内容的，</w:t>
      </w:r>
      <w:r>
        <w:rPr>
          <w:rFonts w:hint="eastAsia"/>
          <w:color w:val="auto"/>
          <w:sz w:val="21"/>
          <w:lang w:eastAsia="zh-CN"/>
        </w:rPr>
        <w:t>供应商</w:t>
      </w:r>
      <w:r>
        <w:rPr>
          <w:color w:val="auto"/>
          <w:sz w:val="21"/>
        </w:rPr>
        <w:t>应在得知情况的同时告知采购人，并事先征得采购人书面同意后方可改变。如发现</w:t>
      </w:r>
      <w:r>
        <w:rPr>
          <w:rFonts w:hint="eastAsia"/>
          <w:color w:val="auto"/>
          <w:sz w:val="21"/>
          <w:lang w:eastAsia="zh-CN"/>
        </w:rPr>
        <w:t>供应商</w:t>
      </w:r>
      <w:r>
        <w:rPr>
          <w:color w:val="auto"/>
          <w:sz w:val="21"/>
        </w:rPr>
        <w:t>有私自更改菜单中货品则以违约论处，由此产生的一切损失和费用由</w:t>
      </w:r>
      <w:r>
        <w:rPr>
          <w:rFonts w:hint="eastAsia"/>
          <w:color w:val="auto"/>
          <w:sz w:val="21"/>
          <w:lang w:eastAsia="zh-CN"/>
        </w:rPr>
        <w:t>供应商</w:t>
      </w:r>
      <w:r>
        <w:rPr>
          <w:color w:val="auto"/>
          <w:sz w:val="21"/>
        </w:rPr>
        <w:t>承担。出现3次上述情况的，由采购人在供货结算款内直接</w:t>
      </w:r>
      <w:r>
        <w:rPr>
          <w:rFonts w:hint="eastAsia"/>
          <w:color w:val="auto"/>
          <w:sz w:val="21"/>
          <w:lang w:val="en-US" w:eastAsia="zh-CN"/>
        </w:rPr>
        <w:t>扣除违约金</w:t>
      </w:r>
      <w:r>
        <w:rPr>
          <w:color w:val="auto"/>
          <w:sz w:val="21"/>
        </w:rPr>
        <w:t>人民币5000元。</w:t>
      </w:r>
    </w:p>
    <w:p>
      <w:pPr>
        <w:pStyle w:val="22"/>
        <w:shd w:val="clear"/>
        <w:ind w:firstLine="420"/>
        <w:jc w:val="both"/>
        <w:rPr>
          <w:color w:val="auto"/>
        </w:rPr>
      </w:pPr>
      <w:r>
        <w:rPr>
          <w:color w:val="auto"/>
          <w:sz w:val="21"/>
        </w:rPr>
        <w:t>9、采购人发现采购货物不能正常食用的，</w:t>
      </w:r>
      <w:r>
        <w:rPr>
          <w:rFonts w:hint="eastAsia"/>
          <w:color w:val="auto"/>
          <w:sz w:val="21"/>
          <w:lang w:eastAsia="zh-CN"/>
        </w:rPr>
        <w:t>供应商</w:t>
      </w:r>
      <w:r>
        <w:rPr>
          <w:color w:val="auto"/>
          <w:sz w:val="21"/>
        </w:rPr>
        <w:t>应无条件退换。</w:t>
      </w:r>
      <w:r>
        <w:rPr>
          <w:rFonts w:hint="eastAsia"/>
          <w:color w:val="auto"/>
          <w:sz w:val="21"/>
          <w:lang w:eastAsia="zh-CN"/>
        </w:rPr>
        <w:t>供应商</w:t>
      </w:r>
      <w:r>
        <w:rPr>
          <w:color w:val="auto"/>
          <w:sz w:val="21"/>
        </w:rPr>
        <w:t>未能履行招标文件和合同约定事项，或供应不合格的、假冒伪劣、以次充好的商品，采购人退货后将记录在案，并</w:t>
      </w:r>
      <w:r>
        <w:rPr>
          <w:rFonts w:hint="eastAsia"/>
          <w:color w:val="auto"/>
          <w:sz w:val="21"/>
          <w:lang w:val="en-US" w:eastAsia="zh-CN"/>
        </w:rPr>
        <w:t>要求</w:t>
      </w:r>
      <w:r>
        <w:rPr>
          <w:rFonts w:hint="eastAsia"/>
          <w:color w:val="auto"/>
          <w:sz w:val="21"/>
          <w:lang w:eastAsia="zh-CN"/>
        </w:rPr>
        <w:t>供应商</w:t>
      </w:r>
      <w:r>
        <w:rPr>
          <w:rFonts w:hint="eastAsia"/>
          <w:color w:val="auto"/>
          <w:sz w:val="21"/>
          <w:lang w:val="en-US" w:eastAsia="zh-CN"/>
        </w:rPr>
        <w:t>承担违约责任</w:t>
      </w:r>
      <w:r>
        <w:rPr>
          <w:color w:val="auto"/>
          <w:sz w:val="21"/>
        </w:rPr>
        <w:t>，除要承担因此产生的一切损失和费用外，情节严重的采购人有权取消其供应资格。</w:t>
      </w:r>
    </w:p>
    <w:p>
      <w:pPr>
        <w:pStyle w:val="22"/>
        <w:shd w:val="clear"/>
        <w:ind w:firstLine="420"/>
        <w:jc w:val="both"/>
        <w:rPr>
          <w:color w:val="auto"/>
        </w:rPr>
      </w:pPr>
      <w:r>
        <w:rPr>
          <w:color w:val="auto"/>
          <w:sz w:val="21"/>
        </w:rPr>
        <w:t>10、</w:t>
      </w:r>
      <w:r>
        <w:rPr>
          <w:rFonts w:hint="eastAsia"/>
          <w:color w:val="auto"/>
          <w:sz w:val="21"/>
          <w:lang w:eastAsia="zh-CN"/>
        </w:rPr>
        <w:t>供应商</w:t>
      </w:r>
      <w:r>
        <w:rPr>
          <w:color w:val="auto"/>
          <w:sz w:val="21"/>
        </w:rPr>
        <w:t>不能按核定的供货价交付某些商品、不能提供与其承诺相符的服务或</w:t>
      </w:r>
      <w:r>
        <w:rPr>
          <w:rFonts w:hint="eastAsia"/>
          <w:color w:val="auto"/>
          <w:sz w:val="21"/>
          <w:lang w:eastAsia="zh-CN"/>
        </w:rPr>
        <w:t>供应商</w:t>
      </w:r>
      <w:r>
        <w:rPr>
          <w:color w:val="auto"/>
          <w:sz w:val="21"/>
        </w:rPr>
        <w:t>存在违反招标文件和合同的行为，并且不予纠正的，将取消其供应资格。此项以下违约责任包括但不限于下列各项：</w:t>
      </w:r>
    </w:p>
    <w:p>
      <w:pPr>
        <w:pStyle w:val="22"/>
        <w:shd w:val="clear"/>
        <w:ind w:firstLine="420"/>
        <w:jc w:val="both"/>
        <w:rPr>
          <w:color w:val="auto"/>
        </w:rPr>
      </w:pPr>
      <w:r>
        <w:rPr>
          <w:color w:val="auto"/>
          <w:sz w:val="21"/>
        </w:rPr>
        <w:t>10.1</w:t>
      </w:r>
      <w:r>
        <w:rPr>
          <w:rFonts w:hint="eastAsia"/>
          <w:color w:val="auto"/>
          <w:sz w:val="21"/>
          <w:lang w:eastAsia="zh-CN"/>
        </w:rPr>
        <w:t>供应商</w:t>
      </w:r>
      <w:r>
        <w:rPr>
          <w:color w:val="auto"/>
          <w:sz w:val="21"/>
        </w:rPr>
        <w:t>在收到采购人订货要求后，在承诺的供货时间内不能供货的；</w:t>
      </w:r>
    </w:p>
    <w:p>
      <w:pPr>
        <w:pStyle w:val="22"/>
        <w:shd w:val="clear"/>
        <w:ind w:firstLine="420"/>
        <w:jc w:val="both"/>
        <w:rPr>
          <w:color w:val="auto"/>
        </w:rPr>
      </w:pPr>
      <w:r>
        <w:rPr>
          <w:color w:val="auto"/>
          <w:sz w:val="21"/>
        </w:rPr>
        <w:t>10.2中标商品在保质期出现损坏的，</w:t>
      </w:r>
      <w:r>
        <w:rPr>
          <w:rFonts w:hint="eastAsia"/>
          <w:color w:val="auto"/>
          <w:sz w:val="21"/>
          <w:lang w:eastAsia="zh-CN"/>
        </w:rPr>
        <w:t>供应商</w:t>
      </w:r>
      <w:r>
        <w:rPr>
          <w:color w:val="auto"/>
          <w:sz w:val="21"/>
        </w:rPr>
        <w:t>应承诺提供替换服务，因替换货物产生的费用由</w:t>
      </w:r>
      <w:r>
        <w:rPr>
          <w:rFonts w:hint="eastAsia"/>
          <w:color w:val="auto"/>
          <w:sz w:val="21"/>
          <w:lang w:eastAsia="zh-CN"/>
        </w:rPr>
        <w:t>供应商</w:t>
      </w:r>
      <w:r>
        <w:rPr>
          <w:color w:val="auto"/>
          <w:sz w:val="21"/>
        </w:rPr>
        <w:t>负责。</w:t>
      </w:r>
    </w:p>
    <w:p>
      <w:pPr>
        <w:pStyle w:val="22"/>
        <w:shd w:val="clear"/>
        <w:ind w:firstLine="420"/>
        <w:jc w:val="both"/>
        <w:rPr>
          <w:color w:val="auto"/>
        </w:rPr>
      </w:pPr>
      <w:r>
        <w:rPr>
          <w:color w:val="auto"/>
          <w:sz w:val="21"/>
        </w:rPr>
        <w:t>10.3</w:t>
      </w:r>
      <w:r>
        <w:rPr>
          <w:rFonts w:hint="eastAsia"/>
          <w:color w:val="auto"/>
          <w:sz w:val="21"/>
          <w:lang w:eastAsia="zh-CN"/>
        </w:rPr>
        <w:t>供应商</w:t>
      </w:r>
      <w:r>
        <w:rPr>
          <w:color w:val="auto"/>
          <w:sz w:val="21"/>
        </w:rPr>
        <w:t>的送货单必须详细注明商品的品牌、品种、单价、数量，送货清单不得涂改。标记不清的，采购人有权拒绝签收。结算期末</w:t>
      </w:r>
      <w:r>
        <w:rPr>
          <w:rFonts w:hint="eastAsia"/>
          <w:color w:val="auto"/>
          <w:sz w:val="21"/>
          <w:lang w:eastAsia="zh-CN"/>
        </w:rPr>
        <w:t>供应商</w:t>
      </w:r>
      <w:r>
        <w:rPr>
          <w:color w:val="auto"/>
          <w:sz w:val="21"/>
        </w:rPr>
        <w:t>还应提供送货清单供采购人结算。</w:t>
      </w:r>
    </w:p>
    <w:p>
      <w:pPr>
        <w:pStyle w:val="22"/>
        <w:shd w:val="clear"/>
        <w:ind w:firstLine="420"/>
        <w:jc w:val="both"/>
        <w:rPr>
          <w:color w:val="auto"/>
        </w:rPr>
      </w:pPr>
      <w:r>
        <w:rPr>
          <w:color w:val="auto"/>
          <w:sz w:val="21"/>
        </w:rPr>
        <w:t>10.4</w:t>
      </w:r>
      <w:r>
        <w:rPr>
          <w:rFonts w:hint="eastAsia"/>
          <w:color w:val="auto"/>
          <w:sz w:val="21"/>
          <w:lang w:eastAsia="zh-CN"/>
        </w:rPr>
        <w:t>供应商</w:t>
      </w:r>
      <w:r>
        <w:rPr>
          <w:color w:val="auto"/>
          <w:sz w:val="21"/>
        </w:rPr>
        <w:t>指定的送货专员必须穿着便于辨认的工衣和配戴胸卡，送货专员在采购人单位活动必须严格遵守采购人单位的各项规章制度，不得做出有损采购人形象和利益的事情。</w:t>
      </w:r>
    </w:p>
    <w:p>
      <w:pPr>
        <w:pStyle w:val="22"/>
        <w:shd w:val="clear"/>
        <w:ind w:firstLine="420"/>
        <w:jc w:val="both"/>
        <w:rPr>
          <w:color w:val="auto"/>
        </w:rPr>
      </w:pPr>
      <w:r>
        <w:rPr>
          <w:color w:val="auto"/>
          <w:sz w:val="21"/>
        </w:rPr>
        <w:t>10.5</w:t>
      </w:r>
      <w:r>
        <w:rPr>
          <w:rFonts w:hint="eastAsia"/>
          <w:color w:val="auto"/>
          <w:sz w:val="21"/>
          <w:lang w:eastAsia="zh-CN"/>
        </w:rPr>
        <w:t>供应商</w:t>
      </w:r>
      <w:r>
        <w:rPr>
          <w:color w:val="auto"/>
          <w:sz w:val="21"/>
        </w:rPr>
        <w:t>需在签订采购合同时与采购人签订保密协议，任何时候均不得泄露采购人的单位秘密。若因泄密造成采购人损失的，</w:t>
      </w:r>
      <w:r>
        <w:rPr>
          <w:rFonts w:hint="eastAsia"/>
          <w:color w:val="auto"/>
          <w:sz w:val="21"/>
          <w:lang w:eastAsia="zh-CN"/>
        </w:rPr>
        <w:t>供应商</w:t>
      </w:r>
      <w:r>
        <w:rPr>
          <w:color w:val="auto"/>
          <w:sz w:val="21"/>
        </w:rPr>
        <w:t>将承担由此产生的一切损失和法律责任。</w:t>
      </w:r>
    </w:p>
    <w:p>
      <w:pPr>
        <w:pStyle w:val="22"/>
        <w:shd w:val="clear"/>
        <w:ind w:firstLine="420"/>
        <w:jc w:val="both"/>
        <w:rPr>
          <w:color w:val="auto"/>
        </w:rPr>
      </w:pPr>
      <w:r>
        <w:rPr>
          <w:color w:val="auto"/>
          <w:sz w:val="21"/>
        </w:rPr>
        <w:t>10.6</w:t>
      </w:r>
      <w:r>
        <w:rPr>
          <w:rFonts w:hint="eastAsia"/>
          <w:color w:val="auto"/>
          <w:sz w:val="21"/>
          <w:lang w:eastAsia="zh-CN"/>
        </w:rPr>
        <w:t>供应商</w:t>
      </w:r>
      <w:r>
        <w:rPr>
          <w:color w:val="auto"/>
          <w:sz w:val="21"/>
        </w:rPr>
        <w:t>应严格遵守《食品安全法》、《农产品质量安全法》等相关规定，一经发现供应以下问题食品，除全部退货外，采购人有权单方面终止合同，</w:t>
      </w:r>
      <w:r>
        <w:rPr>
          <w:rFonts w:hint="eastAsia"/>
          <w:color w:val="auto"/>
          <w:sz w:val="21"/>
          <w:lang w:eastAsia="zh-CN"/>
        </w:rPr>
        <w:t>供应商</w:t>
      </w:r>
      <w:r>
        <w:rPr>
          <w:color w:val="auto"/>
          <w:sz w:val="21"/>
        </w:rPr>
        <w:t>应承担由此造成的经济责任和法律责任：</w:t>
      </w:r>
    </w:p>
    <w:p>
      <w:pPr>
        <w:pStyle w:val="22"/>
        <w:shd w:val="clear"/>
        <w:ind w:firstLine="420"/>
        <w:jc w:val="both"/>
        <w:rPr>
          <w:color w:val="auto"/>
        </w:rPr>
      </w:pPr>
      <w:r>
        <w:rPr>
          <w:color w:val="auto"/>
          <w:sz w:val="21"/>
        </w:rPr>
        <w:t>（1）腐败变质、油脂酸败、霉变、生虫、污秽不洁、混有异物或者其他感官性状异常，对人体健康有害的；</w:t>
      </w:r>
    </w:p>
    <w:p>
      <w:pPr>
        <w:pStyle w:val="22"/>
        <w:shd w:val="clear"/>
        <w:ind w:firstLine="420"/>
        <w:jc w:val="both"/>
        <w:rPr>
          <w:color w:val="auto"/>
        </w:rPr>
      </w:pPr>
      <w:r>
        <w:rPr>
          <w:color w:val="auto"/>
          <w:sz w:val="21"/>
        </w:rPr>
        <w:t>（2）含有毒、有害物质或者被有害物质污染，对人体健康有害的；</w:t>
      </w:r>
    </w:p>
    <w:p>
      <w:pPr>
        <w:pStyle w:val="22"/>
        <w:shd w:val="clear"/>
        <w:ind w:firstLine="420"/>
        <w:jc w:val="both"/>
        <w:rPr>
          <w:color w:val="auto"/>
        </w:rPr>
      </w:pPr>
      <w:r>
        <w:rPr>
          <w:color w:val="auto"/>
          <w:sz w:val="21"/>
        </w:rPr>
        <w:t>（3）含有致病性寄生虫、微生物或者微生物含量超过国家限定标准的；</w:t>
      </w:r>
    </w:p>
    <w:p>
      <w:pPr>
        <w:pStyle w:val="22"/>
        <w:shd w:val="clear"/>
        <w:ind w:firstLine="420"/>
        <w:jc w:val="both"/>
        <w:rPr>
          <w:color w:val="auto"/>
        </w:rPr>
      </w:pPr>
      <w:r>
        <w:rPr>
          <w:color w:val="auto"/>
          <w:sz w:val="21"/>
        </w:rPr>
        <w:t>（4）未经动物检疫部门检疫、检验或者检疫、检验不合格的肉类及其制品；</w:t>
      </w:r>
    </w:p>
    <w:p>
      <w:pPr>
        <w:pStyle w:val="22"/>
        <w:shd w:val="clear"/>
        <w:ind w:firstLine="420"/>
        <w:jc w:val="both"/>
        <w:rPr>
          <w:color w:val="auto"/>
        </w:rPr>
      </w:pPr>
      <w:r>
        <w:rPr>
          <w:color w:val="auto"/>
          <w:sz w:val="21"/>
        </w:rPr>
        <w:t>（5）病死、毒死或者死因不明的禽、畜、兽、水产动物等及其制品；</w:t>
      </w:r>
    </w:p>
    <w:p>
      <w:pPr>
        <w:pStyle w:val="22"/>
        <w:shd w:val="clear"/>
        <w:ind w:firstLine="420"/>
        <w:jc w:val="both"/>
        <w:rPr>
          <w:color w:val="auto"/>
        </w:rPr>
      </w:pPr>
      <w:r>
        <w:rPr>
          <w:color w:val="auto"/>
          <w:sz w:val="21"/>
        </w:rPr>
        <w:t>（6）掺假、掺杂、伪造，影响营养、卫生的；</w:t>
      </w:r>
    </w:p>
    <w:p>
      <w:pPr>
        <w:pStyle w:val="22"/>
        <w:shd w:val="clear"/>
        <w:ind w:firstLine="420"/>
        <w:jc w:val="both"/>
        <w:rPr>
          <w:color w:val="auto"/>
        </w:rPr>
      </w:pPr>
      <w:r>
        <w:rPr>
          <w:color w:val="auto"/>
          <w:sz w:val="21"/>
        </w:rPr>
        <w:t>（7）用非食品原料加工的，加入非食品用化学物质或者将非食品当作食品的；</w:t>
      </w:r>
    </w:p>
    <w:p>
      <w:pPr>
        <w:pStyle w:val="22"/>
        <w:shd w:val="clear"/>
        <w:ind w:firstLine="420"/>
        <w:jc w:val="both"/>
        <w:rPr>
          <w:color w:val="auto"/>
        </w:rPr>
      </w:pPr>
      <w:r>
        <w:rPr>
          <w:color w:val="auto"/>
          <w:sz w:val="21"/>
        </w:rPr>
        <w:t>（8）超过保质期限的。</w:t>
      </w:r>
    </w:p>
    <w:p>
      <w:pPr>
        <w:pStyle w:val="22"/>
        <w:shd w:val="clear"/>
        <w:ind w:firstLine="420"/>
        <w:jc w:val="both"/>
        <w:rPr>
          <w:color w:val="auto"/>
        </w:rPr>
      </w:pPr>
      <w:r>
        <w:rPr>
          <w:color w:val="auto"/>
          <w:sz w:val="21"/>
        </w:rPr>
        <w:t>11、肉类配送要求</w:t>
      </w:r>
    </w:p>
    <w:p>
      <w:pPr>
        <w:pStyle w:val="22"/>
        <w:shd w:val="clear"/>
        <w:ind w:firstLine="420"/>
        <w:jc w:val="both"/>
        <w:rPr>
          <w:color w:val="auto"/>
        </w:rPr>
      </w:pPr>
      <w:r>
        <w:rPr>
          <w:color w:val="auto"/>
          <w:sz w:val="21"/>
        </w:rPr>
        <w:t>11.1所供货物必须符合《食品安全法》等相关要求。</w:t>
      </w:r>
    </w:p>
    <w:p>
      <w:pPr>
        <w:pStyle w:val="22"/>
        <w:shd w:val="clear"/>
        <w:ind w:firstLine="420"/>
        <w:jc w:val="both"/>
        <w:rPr>
          <w:color w:val="auto"/>
        </w:rPr>
      </w:pPr>
      <w:r>
        <w:rPr>
          <w:color w:val="auto"/>
          <w:sz w:val="21"/>
        </w:rPr>
        <w:t>11.2所有货物运输必须采用符合卫生标准的外包装和运载工具，并且要保持清洁和定期消毒。运输车厢的内仓，包括地面、墙面和顶，应使用抗腐蚀、防潮，易清洁消毒的材料。车厢内无不良气味、异味。</w:t>
      </w:r>
    </w:p>
    <w:p>
      <w:pPr>
        <w:pStyle w:val="22"/>
        <w:shd w:val="clear"/>
        <w:ind w:firstLine="420"/>
        <w:jc w:val="both"/>
        <w:rPr>
          <w:color w:val="auto"/>
        </w:rPr>
      </w:pPr>
      <w:r>
        <w:rPr>
          <w:color w:val="auto"/>
          <w:sz w:val="21"/>
        </w:rPr>
        <w:t>11.3冷藏、冷冻食品必须用专用冷藏、冷冻载具运输，实行一小时配送圈运作，目的地在一小时内的用保温车配送，一小时以外的用制冷车配送，保证冷冻肉中心温度控制在-2℃～7℃的范围之内，保证运输过程冷链不中断。食品到达目的地时外包装箱干爽，无软化现象。</w:t>
      </w:r>
    </w:p>
    <w:p>
      <w:pPr>
        <w:pStyle w:val="22"/>
        <w:shd w:val="clear"/>
        <w:ind w:firstLine="420"/>
        <w:jc w:val="both"/>
        <w:rPr>
          <w:color w:val="auto"/>
        </w:rPr>
      </w:pPr>
      <w:r>
        <w:rPr>
          <w:color w:val="auto"/>
          <w:sz w:val="21"/>
        </w:rPr>
        <w:t>11.4整个运输过程应科学合理，运输车辆应定期清洁，保持性能稳定，符合规定的温度要求，使运输食品处于恒定的环境中。</w:t>
      </w:r>
    </w:p>
    <w:p>
      <w:pPr>
        <w:pStyle w:val="22"/>
        <w:shd w:val="clear"/>
        <w:ind w:firstLine="420"/>
        <w:jc w:val="both"/>
        <w:rPr>
          <w:color w:val="auto"/>
        </w:rPr>
      </w:pPr>
      <w:r>
        <w:rPr>
          <w:color w:val="auto"/>
          <w:sz w:val="21"/>
        </w:rPr>
        <w:t>11.5卸货要求：送货车辆应保持清洁；食品堆放科学合理，避免造成食品的交叉污染；如对温度有要求的食品应确定食品的温度，记录送货车辆温度，并存档。在卸货过程中应保证冷藏食品脱离冷链时间不得超过20分钟，冷冻食品脱离冷链时间不得超过30分钟。</w:t>
      </w:r>
    </w:p>
    <w:p>
      <w:pPr>
        <w:pStyle w:val="22"/>
        <w:shd w:val="clear"/>
        <w:ind w:firstLine="420"/>
        <w:jc w:val="both"/>
        <w:rPr>
          <w:color w:val="auto"/>
        </w:rPr>
      </w:pPr>
      <w:r>
        <w:rPr>
          <w:color w:val="auto"/>
          <w:sz w:val="21"/>
        </w:rPr>
        <w:t>12、蔬菜瓜果类和粮油副食品配送要求</w:t>
      </w:r>
    </w:p>
    <w:p>
      <w:pPr>
        <w:pStyle w:val="22"/>
        <w:shd w:val="clear"/>
        <w:ind w:firstLine="420"/>
        <w:jc w:val="both"/>
        <w:rPr>
          <w:color w:val="auto"/>
        </w:rPr>
      </w:pPr>
      <w:r>
        <w:rPr>
          <w:color w:val="auto"/>
          <w:sz w:val="21"/>
        </w:rPr>
        <w:t>12.1所供货物必须符合《食品安全法》、《农产品质量安全法》等相关要求。</w:t>
      </w:r>
    </w:p>
    <w:p>
      <w:pPr>
        <w:pStyle w:val="22"/>
        <w:shd w:val="clear"/>
        <w:ind w:firstLine="420"/>
        <w:jc w:val="both"/>
        <w:rPr>
          <w:color w:val="auto"/>
        </w:rPr>
      </w:pPr>
      <w:r>
        <w:rPr>
          <w:color w:val="auto"/>
          <w:sz w:val="21"/>
        </w:rPr>
        <w:t>12.2所供货物必须符合国家行业生产及经营标准，货真价实，均能提供相应批次的检验合格证明。</w:t>
      </w:r>
    </w:p>
    <w:p>
      <w:pPr>
        <w:pStyle w:val="22"/>
        <w:shd w:val="clear"/>
        <w:ind w:firstLine="420"/>
        <w:jc w:val="both"/>
        <w:rPr>
          <w:color w:val="auto"/>
        </w:rPr>
      </w:pPr>
      <w:r>
        <w:rPr>
          <w:color w:val="auto"/>
          <w:sz w:val="21"/>
        </w:rPr>
        <w:t>12.3所有货物必须各项质量技术指标完全符合国家有关质量检测、环保标准及产品出厂标准。</w:t>
      </w:r>
    </w:p>
    <w:p>
      <w:pPr>
        <w:pStyle w:val="22"/>
        <w:shd w:val="clear"/>
        <w:ind w:firstLine="420"/>
        <w:jc w:val="both"/>
        <w:rPr>
          <w:color w:val="auto"/>
        </w:rPr>
      </w:pPr>
      <w:r>
        <w:rPr>
          <w:color w:val="auto"/>
          <w:sz w:val="21"/>
        </w:rPr>
        <w:t>12.4所有货物指标要符合国家强制性标准要求。</w:t>
      </w:r>
    </w:p>
    <w:p>
      <w:pPr>
        <w:pStyle w:val="22"/>
        <w:shd w:val="clear"/>
        <w:ind w:firstLine="420"/>
        <w:jc w:val="both"/>
        <w:rPr>
          <w:color w:val="auto"/>
        </w:rPr>
      </w:pPr>
      <w:r>
        <w:rPr>
          <w:color w:val="auto"/>
          <w:sz w:val="21"/>
        </w:rPr>
        <w:t>12.5所供货物必须是优质货品，不得含有残留农药或污染物，</w:t>
      </w:r>
      <w:r>
        <w:rPr>
          <w:rFonts w:hint="eastAsia"/>
          <w:color w:val="auto"/>
          <w:sz w:val="21"/>
          <w:lang w:eastAsia="zh-CN"/>
        </w:rPr>
        <w:t>供应商</w:t>
      </w:r>
      <w:r>
        <w:rPr>
          <w:color w:val="auto"/>
          <w:sz w:val="21"/>
        </w:rPr>
        <w:t>必须保证所供应的货物符合卫生标准，因食用</w:t>
      </w:r>
      <w:r>
        <w:rPr>
          <w:rFonts w:hint="eastAsia"/>
          <w:color w:val="auto"/>
          <w:sz w:val="21"/>
          <w:lang w:eastAsia="zh-CN"/>
        </w:rPr>
        <w:t>供应商</w:t>
      </w:r>
      <w:r>
        <w:rPr>
          <w:color w:val="auto"/>
          <w:sz w:val="21"/>
        </w:rPr>
        <w:t>供应的货物而导致采购人员食物中毒，经卫生防疫部门确定为</w:t>
      </w:r>
      <w:r>
        <w:rPr>
          <w:rFonts w:hint="eastAsia"/>
          <w:color w:val="auto"/>
          <w:sz w:val="21"/>
          <w:lang w:eastAsia="zh-CN"/>
        </w:rPr>
        <w:t>供应商</w:t>
      </w:r>
      <w:r>
        <w:rPr>
          <w:color w:val="auto"/>
          <w:sz w:val="21"/>
        </w:rPr>
        <w:t>责任的，</w:t>
      </w:r>
      <w:r>
        <w:rPr>
          <w:rFonts w:hint="eastAsia"/>
          <w:color w:val="auto"/>
          <w:sz w:val="21"/>
          <w:lang w:eastAsia="zh-CN"/>
        </w:rPr>
        <w:t>供应商</w:t>
      </w:r>
      <w:r>
        <w:rPr>
          <w:color w:val="auto"/>
          <w:sz w:val="21"/>
        </w:rPr>
        <w:t>必须承担全部费用及法律责任。</w:t>
      </w:r>
    </w:p>
    <w:p>
      <w:pPr>
        <w:pStyle w:val="22"/>
        <w:shd w:val="clear"/>
        <w:ind w:firstLine="420"/>
        <w:jc w:val="both"/>
        <w:rPr>
          <w:color w:val="auto"/>
        </w:rPr>
      </w:pPr>
      <w:r>
        <w:rPr>
          <w:color w:val="auto"/>
          <w:sz w:val="21"/>
        </w:rPr>
        <w:t>12.6</w:t>
      </w:r>
      <w:r>
        <w:rPr>
          <w:rFonts w:hint="eastAsia"/>
          <w:color w:val="auto"/>
          <w:sz w:val="21"/>
          <w:lang w:eastAsia="zh-CN"/>
        </w:rPr>
        <w:t>供应商</w:t>
      </w:r>
      <w:r>
        <w:rPr>
          <w:color w:val="auto"/>
          <w:sz w:val="21"/>
        </w:rPr>
        <w:t>必须负责供应货物的运输、质量检测等工作，所产生的费用由</w:t>
      </w:r>
      <w:r>
        <w:rPr>
          <w:rFonts w:hint="eastAsia"/>
          <w:color w:val="auto"/>
          <w:sz w:val="21"/>
          <w:lang w:eastAsia="zh-CN"/>
        </w:rPr>
        <w:t>供应商</w:t>
      </w:r>
      <w:r>
        <w:rPr>
          <w:color w:val="auto"/>
          <w:sz w:val="21"/>
        </w:rPr>
        <w:t>负责。</w:t>
      </w:r>
    </w:p>
    <w:p>
      <w:pPr>
        <w:pStyle w:val="22"/>
        <w:shd w:val="clear"/>
        <w:ind w:firstLine="420"/>
        <w:jc w:val="both"/>
        <w:rPr>
          <w:color w:val="auto"/>
        </w:rPr>
      </w:pPr>
      <w:r>
        <w:rPr>
          <w:color w:val="auto"/>
          <w:sz w:val="21"/>
        </w:rPr>
        <w:t>12.7供应期内各批次的货物具体需求量及品种以实际供应前一天采购人的通知为准。每天按时送货。</w:t>
      </w:r>
    </w:p>
    <w:p>
      <w:pPr>
        <w:pStyle w:val="22"/>
        <w:shd w:val="clear"/>
        <w:ind w:firstLine="420"/>
        <w:jc w:val="both"/>
        <w:rPr>
          <w:color w:val="auto"/>
        </w:rPr>
      </w:pPr>
      <w:r>
        <w:rPr>
          <w:color w:val="auto"/>
          <w:sz w:val="21"/>
        </w:rPr>
        <w:t>13、面包糕点类配送要求</w:t>
      </w:r>
    </w:p>
    <w:p>
      <w:pPr>
        <w:pStyle w:val="22"/>
        <w:shd w:val="clear"/>
        <w:ind w:firstLine="420"/>
        <w:jc w:val="both"/>
        <w:rPr>
          <w:color w:val="auto"/>
        </w:rPr>
      </w:pPr>
      <w:r>
        <w:rPr>
          <w:color w:val="auto"/>
          <w:sz w:val="21"/>
        </w:rPr>
        <w:t>13.1所供货物必须符合《食品安全法》等相关要求。</w:t>
      </w:r>
    </w:p>
    <w:p>
      <w:pPr>
        <w:pStyle w:val="22"/>
        <w:shd w:val="clear"/>
        <w:ind w:firstLine="420"/>
        <w:jc w:val="both"/>
        <w:rPr>
          <w:color w:val="auto"/>
        </w:rPr>
      </w:pPr>
      <w:r>
        <w:rPr>
          <w:color w:val="auto"/>
          <w:sz w:val="21"/>
        </w:rPr>
        <w:t>13.2所有货物运输必须采用符合卫生标准的外包装和运载工具，并且要保持清洁和定期消毒。运输车厢的内仓，包括地面、墙面和顶，应使用抗腐蚀、防潮，易清洁消毒的材料。车厢内无不良气味、异味。</w:t>
      </w:r>
    </w:p>
    <w:p>
      <w:pPr>
        <w:pStyle w:val="22"/>
        <w:shd w:val="clear"/>
        <w:ind w:firstLine="420"/>
        <w:jc w:val="both"/>
        <w:rPr>
          <w:color w:val="auto"/>
        </w:rPr>
      </w:pPr>
      <w:r>
        <w:rPr>
          <w:color w:val="auto"/>
          <w:sz w:val="21"/>
        </w:rPr>
        <w:t>13.3冷藏、冷冻食品必须用专用冷藏、冷冻载具运输，实行一小时配送圈运作，目的地在一小时内的用保温车配送，一小时以外的用制冷车配送，保证冷冻食品中心温度控制在-2℃～7℃的范围之内，保证运输过程冷链不中断。食品到达目的地时外包装箱干爽，无软化现象。</w:t>
      </w:r>
    </w:p>
    <w:p>
      <w:pPr>
        <w:pStyle w:val="22"/>
        <w:shd w:val="clear"/>
        <w:ind w:firstLine="420"/>
        <w:jc w:val="both"/>
        <w:rPr>
          <w:color w:val="auto"/>
        </w:rPr>
      </w:pPr>
      <w:r>
        <w:rPr>
          <w:color w:val="auto"/>
          <w:sz w:val="21"/>
        </w:rPr>
        <w:t>13.4整个运输过程应科学合理，运输车辆应定期清洁，保持性能稳定，符合规定的温度要求，使运输食品处于恒定的环境中。</w:t>
      </w:r>
    </w:p>
    <w:p>
      <w:pPr>
        <w:pStyle w:val="22"/>
        <w:shd w:val="clear"/>
        <w:ind w:firstLine="420"/>
        <w:jc w:val="both"/>
        <w:rPr>
          <w:color w:val="auto"/>
        </w:rPr>
      </w:pPr>
      <w:r>
        <w:rPr>
          <w:color w:val="auto"/>
          <w:sz w:val="21"/>
        </w:rPr>
        <w:t>13.5卸货要求：送货车辆应保持清洁；食品堆放科学合理，避免造成食品的交叉污染；如对温度有要求的食品应确定食品的温度，记录送货车辆温度，并存档。在卸货过程中应保证冷藏食品脱离冷链时间不得超过20分钟，冷冻食品脱离冷链时间不得超过30分钟。</w:t>
      </w:r>
    </w:p>
    <w:p>
      <w:pPr>
        <w:pStyle w:val="22"/>
        <w:shd w:val="clear"/>
        <w:ind w:firstLine="422"/>
        <w:jc w:val="both"/>
        <w:rPr>
          <w:color w:val="auto"/>
        </w:rPr>
      </w:pPr>
      <w:r>
        <w:rPr>
          <w:b/>
          <w:color w:val="auto"/>
          <w:sz w:val="21"/>
        </w:rPr>
        <w:t>七、验收方式</w:t>
      </w:r>
    </w:p>
    <w:p>
      <w:pPr>
        <w:pStyle w:val="22"/>
        <w:shd w:val="clear"/>
        <w:ind w:firstLine="424"/>
        <w:jc w:val="both"/>
        <w:rPr>
          <w:color w:val="auto"/>
        </w:rPr>
      </w:pPr>
      <w:r>
        <w:rPr>
          <w:color w:val="auto"/>
          <w:sz w:val="21"/>
        </w:rPr>
        <w:t>1、检验流程</w:t>
      </w:r>
    </w:p>
    <w:p>
      <w:pPr>
        <w:pStyle w:val="22"/>
        <w:shd w:val="clear"/>
        <w:ind w:firstLine="424"/>
        <w:jc w:val="both"/>
        <w:rPr>
          <w:color w:val="auto"/>
        </w:rPr>
      </w:pPr>
      <w:r>
        <w:rPr>
          <w:color w:val="auto"/>
          <w:sz w:val="21"/>
        </w:rPr>
        <w:t>一是要作好卸货前的检查。验收人员卸货前应对场地和验收设备做好准备，并对商品的外观质量进行初步了解。二是应采取当场验收的方式，验收人须认真检验食品的质量要求，按索证→过磅→入库的程序完成验收；三是须进行抽查验收，抽查样本数视实际情况而定，一般不超过10%。</w:t>
      </w:r>
    </w:p>
    <w:p>
      <w:pPr>
        <w:pStyle w:val="22"/>
        <w:shd w:val="clear"/>
        <w:ind w:firstLine="424"/>
        <w:jc w:val="both"/>
        <w:rPr>
          <w:color w:val="auto"/>
        </w:rPr>
      </w:pPr>
      <w:r>
        <w:rPr>
          <w:color w:val="auto"/>
          <w:sz w:val="21"/>
        </w:rPr>
        <w:t>2、验收工作人员应比较相关文件，以确保食品品种符合要求。如确定有所差异，应即刻通知送货人员。如发现食品有损坏的情况，应在相关单据上记录所有损坏情况。建议对货物损坏情况进行拍照并存档。对于食品验收的全部信息数据，采购人的验收人员应和</w:t>
      </w:r>
      <w:r>
        <w:rPr>
          <w:rFonts w:hint="eastAsia"/>
          <w:color w:val="auto"/>
          <w:sz w:val="21"/>
          <w:lang w:eastAsia="zh-CN"/>
        </w:rPr>
        <w:t>供应商</w:t>
      </w:r>
      <w:r>
        <w:rPr>
          <w:color w:val="auto"/>
          <w:sz w:val="21"/>
        </w:rPr>
        <w:t>一起确认，并保留双方签字单据。</w:t>
      </w:r>
    </w:p>
    <w:p>
      <w:pPr>
        <w:pStyle w:val="22"/>
        <w:shd w:val="clear"/>
        <w:ind w:firstLine="424"/>
        <w:jc w:val="both"/>
        <w:rPr>
          <w:color w:val="auto"/>
        </w:rPr>
      </w:pPr>
      <w:r>
        <w:rPr>
          <w:color w:val="auto"/>
          <w:sz w:val="21"/>
        </w:rPr>
        <w:t>3、退（补）货流程</w:t>
      </w:r>
    </w:p>
    <w:p>
      <w:pPr>
        <w:pStyle w:val="22"/>
        <w:shd w:val="clear"/>
        <w:ind w:firstLine="424"/>
        <w:jc w:val="both"/>
        <w:rPr>
          <w:color w:val="auto"/>
        </w:rPr>
      </w:pPr>
      <w:r>
        <w:rPr>
          <w:color w:val="auto"/>
          <w:sz w:val="21"/>
        </w:rPr>
        <w:t>对不符合采购要求的食品由验收人员提出清退，退货前应实行留板备案，如双方对质量争议可送国家质检部门检测。对缺斤短两（或含水量超标）的应按实际重量扣减。出现退（补）货情况，应及时报告。在退货过程中，对有碍公共卫生安全的食品，直接按国家有关规定处理或进行协议销毁，不再退货给供应商。</w:t>
      </w:r>
    </w:p>
    <w:p>
      <w:pPr>
        <w:pStyle w:val="22"/>
        <w:shd w:val="clear"/>
        <w:ind w:firstLine="424"/>
        <w:jc w:val="both"/>
        <w:rPr>
          <w:color w:val="auto"/>
        </w:rPr>
      </w:pPr>
      <w:r>
        <w:rPr>
          <w:color w:val="auto"/>
          <w:sz w:val="21"/>
        </w:rPr>
        <w:t>4、验收记录</w:t>
      </w:r>
    </w:p>
    <w:p>
      <w:pPr>
        <w:pStyle w:val="22"/>
        <w:shd w:val="clear"/>
        <w:ind w:firstLine="424"/>
        <w:jc w:val="both"/>
        <w:rPr>
          <w:color w:val="auto"/>
        </w:rPr>
      </w:pPr>
      <w:r>
        <w:rPr>
          <w:color w:val="auto"/>
          <w:sz w:val="21"/>
        </w:rPr>
        <w:t>每次采购的食品都要登记记录，注明名称、数量等事项并在采购登记记录上签明意见和验收人的名字及日期。</w:t>
      </w:r>
    </w:p>
    <w:p>
      <w:pPr>
        <w:pStyle w:val="22"/>
        <w:shd w:val="clear"/>
        <w:ind w:firstLine="420"/>
        <w:jc w:val="both"/>
        <w:rPr>
          <w:color w:val="auto"/>
        </w:rPr>
      </w:pPr>
      <w:r>
        <w:rPr>
          <w:color w:val="auto"/>
          <w:sz w:val="21"/>
        </w:rPr>
        <w:t>5、</w:t>
      </w:r>
      <w:r>
        <w:rPr>
          <w:rFonts w:hint="eastAsia"/>
          <w:color w:val="auto"/>
          <w:sz w:val="21"/>
          <w:lang w:eastAsia="zh-CN"/>
        </w:rPr>
        <w:t>供应商</w:t>
      </w:r>
      <w:r>
        <w:rPr>
          <w:color w:val="auto"/>
          <w:sz w:val="21"/>
        </w:rPr>
        <w:t>应在送货前提前通知采购人送货时间，以便做好交收工作。如</w:t>
      </w:r>
      <w:r>
        <w:rPr>
          <w:rFonts w:hint="eastAsia"/>
          <w:color w:val="auto"/>
          <w:sz w:val="21"/>
          <w:lang w:eastAsia="zh-CN"/>
        </w:rPr>
        <w:t>供应商</w:t>
      </w:r>
      <w:r>
        <w:rPr>
          <w:color w:val="auto"/>
          <w:sz w:val="21"/>
        </w:rPr>
        <w:t>未能按时交货的。采购人有权自行采购，并由</w:t>
      </w:r>
      <w:r>
        <w:rPr>
          <w:rFonts w:hint="eastAsia"/>
          <w:color w:val="auto"/>
          <w:sz w:val="21"/>
          <w:lang w:eastAsia="zh-CN"/>
        </w:rPr>
        <w:t>供应商</w:t>
      </w:r>
      <w:r>
        <w:rPr>
          <w:color w:val="auto"/>
          <w:sz w:val="21"/>
        </w:rPr>
        <w:t>承担因此产生的一切损失和费用（包括直接经济损失和间接经济损失）。</w:t>
      </w:r>
    </w:p>
    <w:p>
      <w:pPr>
        <w:pStyle w:val="22"/>
        <w:shd w:val="clear"/>
        <w:ind w:firstLine="420"/>
        <w:jc w:val="both"/>
        <w:rPr>
          <w:color w:val="auto"/>
        </w:rPr>
      </w:pPr>
      <w:r>
        <w:rPr>
          <w:color w:val="auto"/>
          <w:sz w:val="21"/>
        </w:rPr>
        <w:t>6、</w:t>
      </w:r>
      <w:r>
        <w:rPr>
          <w:color w:val="auto"/>
          <w:sz w:val="21"/>
          <w:shd w:val="clear" w:fill="FFFFFF"/>
        </w:rPr>
        <w:t>食材验收票证</w:t>
      </w:r>
    </w:p>
    <w:p>
      <w:pPr>
        <w:pStyle w:val="22"/>
        <w:shd w:val="clear"/>
        <w:ind w:firstLine="420"/>
        <w:jc w:val="both"/>
        <w:rPr>
          <w:color w:val="auto"/>
        </w:rPr>
      </w:pPr>
      <w:r>
        <w:rPr>
          <w:color w:val="auto"/>
          <w:sz w:val="21"/>
          <w:shd w:val="clear" w:fill="FFFFFF"/>
        </w:rPr>
        <w:t>（1）生产（供应）企业的资质证明</w:t>
      </w:r>
      <w:r>
        <w:rPr>
          <w:color w:val="auto"/>
          <w:sz w:val="21"/>
        </w:rPr>
        <w:t>（首次供应时提供）</w:t>
      </w:r>
    </w:p>
    <w:tbl>
      <w:tblPr>
        <w:tblStyle w:val="10"/>
        <w:tblW w:w="9604" w:type="dxa"/>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13"/>
        <w:gridCol w:w="8391"/>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PrEx>
        <w:trPr>
          <w:trHeight w:val="454" w:hRule="atLeast"/>
          <w:jc w:val="center"/>
        </w:trPr>
        <w:tc>
          <w:tcPr>
            <w:tcW w:w="121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b/>
                <w:color w:val="auto"/>
                <w:sz w:val="21"/>
              </w:rPr>
              <w:t>类别</w:t>
            </w:r>
          </w:p>
        </w:tc>
        <w:tc>
          <w:tcPr>
            <w:tcW w:w="839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left="45" w:right="45" w:firstLine="380"/>
              <w:jc w:val="center"/>
              <w:rPr>
                <w:color w:val="auto"/>
              </w:rPr>
            </w:pPr>
            <w:r>
              <w:rPr>
                <w:b/>
                <w:color w:val="auto"/>
                <w:sz w:val="21"/>
              </w:rPr>
              <w:t>资质证明</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213"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大米</w:t>
            </w:r>
          </w:p>
        </w:tc>
        <w:tc>
          <w:tcPr>
            <w:tcW w:w="8391"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left="45" w:right="45" w:firstLine="380"/>
              <w:jc w:val="both"/>
              <w:rPr>
                <w:color w:val="auto"/>
              </w:rPr>
            </w:pPr>
            <w:r>
              <w:rPr>
                <w:color w:val="auto"/>
                <w:sz w:val="21"/>
              </w:rPr>
              <w:t>《营业执照》、《食品生产许可证》或《食品经营许可证》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213"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食油</w:t>
            </w:r>
          </w:p>
        </w:tc>
        <w:tc>
          <w:tcPr>
            <w:tcW w:w="8391"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left="45" w:right="45" w:firstLine="380"/>
              <w:jc w:val="both"/>
              <w:rPr>
                <w:color w:val="auto"/>
              </w:rPr>
            </w:pPr>
            <w:r>
              <w:rPr>
                <w:color w:val="auto"/>
                <w:sz w:val="21"/>
              </w:rPr>
              <w:t>《营业执照》、《食品生产许可证》或《食品经营许可证》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213"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畜禽冻肉类</w:t>
            </w:r>
          </w:p>
        </w:tc>
        <w:tc>
          <w:tcPr>
            <w:tcW w:w="8391"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left="45" w:right="45" w:firstLine="380"/>
              <w:jc w:val="both"/>
              <w:rPr>
                <w:color w:val="auto"/>
              </w:rPr>
            </w:pPr>
            <w:r>
              <w:rPr>
                <w:color w:val="auto"/>
                <w:sz w:val="21"/>
              </w:rPr>
              <w:t>《营业执照》、《动物防疫合格证》、《食品生产许可证》或《食品经营许可证》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213"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肉制品</w:t>
            </w:r>
          </w:p>
        </w:tc>
        <w:tc>
          <w:tcPr>
            <w:tcW w:w="8391"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left="45" w:right="45" w:firstLine="380"/>
              <w:jc w:val="both"/>
              <w:rPr>
                <w:color w:val="auto"/>
              </w:rPr>
            </w:pPr>
            <w:r>
              <w:rPr>
                <w:color w:val="auto"/>
                <w:sz w:val="21"/>
              </w:rPr>
              <w:t>《营业执照》、《食品生产许可证》或《食品经营许可证》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213"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水产品</w:t>
            </w:r>
          </w:p>
        </w:tc>
        <w:tc>
          <w:tcPr>
            <w:tcW w:w="8391"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left="45" w:right="45" w:firstLine="380"/>
              <w:jc w:val="both"/>
              <w:rPr>
                <w:color w:val="auto"/>
              </w:rPr>
            </w:pPr>
            <w:r>
              <w:rPr>
                <w:color w:val="auto"/>
                <w:sz w:val="21"/>
              </w:rPr>
              <w:t>《营业执照》、《食品生产许可证》或《食品经营许可证》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213"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蔬菜</w:t>
            </w:r>
          </w:p>
        </w:tc>
        <w:tc>
          <w:tcPr>
            <w:tcW w:w="8391"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left="45" w:right="45" w:firstLine="380"/>
              <w:jc w:val="both"/>
              <w:rPr>
                <w:color w:val="auto"/>
              </w:rPr>
            </w:pPr>
            <w:r>
              <w:rPr>
                <w:color w:val="auto"/>
                <w:sz w:val="21"/>
              </w:rPr>
              <w:t>《营业执照》、《食品生产许可证》或《食品经营许可证》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213"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副食品</w:t>
            </w:r>
          </w:p>
        </w:tc>
        <w:tc>
          <w:tcPr>
            <w:tcW w:w="8391"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left="45" w:right="45" w:firstLine="380"/>
              <w:jc w:val="both"/>
              <w:rPr>
                <w:color w:val="auto"/>
              </w:rPr>
            </w:pPr>
            <w:r>
              <w:rPr>
                <w:color w:val="auto"/>
                <w:sz w:val="21"/>
              </w:rPr>
              <w:t>《营业执照》、《食品生产许可证》或《食品经营许可证》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PrEx>
        <w:trPr>
          <w:trHeight w:val="454" w:hRule="atLeast"/>
          <w:jc w:val="center"/>
        </w:trPr>
        <w:tc>
          <w:tcPr>
            <w:tcW w:w="1213"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包点粉面类</w:t>
            </w:r>
          </w:p>
        </w:tc>
        <w:tc>
          <w:tcPr>
            <w:tcW w:w="8391"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left="45" w:right="45" w:firstLine="380"/>
              <w:jc w:val="both"/>
              <w:rPr>
                <w:color w:val="auto"/>
              </w:rPr>
            </w:pPr>
            <w:r>
              <w:rPr>
                <w:color w:val="auto"/>
                <w:sz w:val="21"/>
              </w:rPr>
              <w:t>《营业执照》、《食品生产许可证》或《食品经营许可证》</w:t>
            </w:r>
          </w:p>
        </w:tc>
      </w:tr>
    </w:tbl>
    <w:p>
      <w:pPr>
        <w:pStyle w:val="22"/>
        <w:shd w:val="clear"/>
        <w:spacing w:before="150"/>
        <w:ind w:firstLine="420"/>
        <w:jc w:val="both"/>
        <w:rPr>
          <w:color w:val="auto"/>
        </w:rPr>
      </w:pPr>
      <w:r>
        <w:rPr>
          <w:color w:val="auto"/>
          <w:sz w:val="21"/>
          <w:shd w:val="clear" w:fill="FFFFFF"/>
        </w:rPr>
        <w:t>（2）产品票证要求</w:t>
      </w:r>
    </w:p>
    <w:tbl>
      <w:tblPr>
        <w:tblStyle w:val="10"/>
        <w:tblW w:w="9559" w:type="dxa"/>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91"/>
        <w:gridCol w:w="2639"/>
        <w:gridCol w:w="572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b/>
                <w:color w:val="auto"/>
                <w:sz w:val="21"/>
              </w:rPr>
              <w:t>类别</w:t>
            </w: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b/>
                <w:color w:val="auto"/>
                <w:sz w:val="21"/>
              </w:rPr>
              <w:t>产品资质名称</w:t>
            </w:r>
          </w:p>
        </w:tc>
        <w:tc>
          <w:tcPr>
            <w:tcW w:w="572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b/>
                <w:color w:val="auto"/>
                <w:sz w:val="21"/>
              </w:rPr>
              <w:t>验收索证要求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vMerge w:val="restart"/>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大米</w:t>
            </w: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1、《检测报告》</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由具有资质的质量检验机构出具，每季度一次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vMerge w:val="continue"/>
            <w:tcBorders>
              <w:top w:val="nil"/>
              <w:left w:val="single" w:color="000000" w:sz="4" w:space="0"/>
              <w:bottom w:val="single" w:color="000000" w:sz="4" w:space="0"/>
              <w:right w:val="single" w:color="000000" w:sz="4" w:space="0"/>
            </w:tcBorders>
            <w:shd w:val="clear" w:color="auto" w:fill="auto"/>
            <w:vAlign w:val="center"/>
          </w:tcPr>
          <w:p>
            <w:pPr>
              <w:shd w:val="clear"/>
              <w:jc w:val="center"/>
              <w:rPr>
                <w:color w:val="auto"/>
              </w:rPr>
            </w:pP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2、《出厂检验报告》</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交货时提供本批次产品的出厂（库）检验合格报告单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vMerge w:val="continue"/>
            <w:tcBorders>
              <w:top w:val="nil"/>
              <w:left w:val="single" w:color="000000" w:sz="4" w:space="0"/>
              <w:bottom w:val="single" w:color="000000" w:sz="4" w:space="0"/>
              <w:right w:val="single" w:color="000000" w:sz="4" w:space="0"/>
            </w:tcBorders>
            <w:shd w:val="clear" w:color="auto" w:fill="auto"/>
            <w:vAlign w:val="center"/>
          </w:tcPr>
          <w:p>
            <w:pPr>
              <w:shd w:val="clear"/>
              <w:jc w:val="center"/>
              <w:rPr>
                <w:color w:val="auto"/>
              </w:rPr>
            </w:pP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3、货物清单</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加盖公章的货物清单（送货单）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vMerge w:val="restart"/>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食用油</w:t>
            </w: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1、《检测报告》</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由具资质的质量检测部门出具，每季度一次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vMerge w:val="continue"/>
            <w:tcBorders>
              <w:top w:val="nil"/>
              <w:left w:val="single" w:color="000000" w:sz="4" w:space="0"/>
              <w:bottom w:val="single" w:color="000000" w:sz="4" w:space="0"/>
              <w:right w:val="single" w:color="000000" w:sz="4" w:space="0"/>
            </w:tcBorders>
            <w:shd w:val="clear" w:color="auto" w:fill="auto"/>
            <w:vAlign w:val="center"/>
          </w:tcPr>
          <w:p>
            <w:pPr>
              <w:shd w:val="clear"/>
              <w:jc w:val="center"/>
              <w:rPr>
                <w:color w:val="auto"/>
              </w:rPr>
            </w:pP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2、《出厂检验报告》</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交货时提供本批次产品的出厂（库）检验合格报告单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vMerge w:val="continue"/>
            <w:tcBorders>
              <w:top w:val="nil"/>
              <w:left w:val="single" w:color="000000" w:sz="4" w:space="0"/>
              <w:bottom w:val="single" w:color="000000" w:sz="4" w:space="0"/>
              <w:right w:val="single" w:color="000000" w:sz="4" w:space="0"/>
            </w:tcBorders>
            <w:shd w:val="clear" w:color="auto" w:fill="auto"/>
            <w:vAlign w:val="center"/>
          </w:tcPr>
          <w:p>
            <w:pPr>
              <w:shd w:val="clear"/>
              <w:jc w:val="center"/>
              <w:rPr>
                <w:color w:val="auto"/>
              </w:rPr>
            </w:pP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3、货物清单</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加盖公章的货物清单（送货单）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vMerge w:val="restart"/>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禽畜冻肉类</w:t>
            </w: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1、《动物产品检疫合格证明》</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由生产厂家所在地及产品销售集散地当地政府动物检疫部门出具的证明</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vMerge w:val="continue"/>
            <w:tcBorders>
              <w:top w:val="nil"/>
              <w:left w:val="single" w:color="000000" w:sz="4" w:space="0"/>
              <w:bottom w:val="single" w:color="000000" w:sz="4" w:space="0"/>
              <w:right w:val="single" w:color="000000" w:sz="4" w:space="0"/>
            </w:tcBorders>
            <w:shd w:val="clear" w:color="auto" w:fill="auto"/>
            <w:vAlign w:val="center"/>
          </w:tcPr>
          <w:p>
            <w:pPr>
              <w:shd w:val="clear"/>
              <w:jc w:val="center"/>
              <w:rPr>
                <w:color w:val="auto"/>
              </w:rPr>
            </w:pP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2、《产品合格证》</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rFonts w:hint="eastAsia" w:eastAsiaTheme="minorEastAsia"/>
                <w:color w:val="auto"/>
                <w:lang w:eastAsia="zh-CN"/>
              </w:rPr>
            </w:pPr>
            <w:r>
              <w:rPr>
                <w:color w:val="auto"/>
                <w:sz w:val="21"/>
              </w:rPr>
              <w:t>交货时提供本批次产品的出厂（库）检验合格证明，随货同行</w:t>
            </w:r>
            <w:r>
              <w:rPr>
                <w:rFonts w:hint="eastAsia"/>
                <w:color w:val="auto"/>
                <w:sz w:val="21"/>
                <w:lang w:eastAsia="zh-CN"/>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vMerge w:val="continue"/>
            <w:tcBorders>
              <w:top w:val="nil"/>
              <w:left w:val="single" w:color="000000" w:sz="4" w:space="0"/>
              <w:bottom w:val="single" w:color="000000" w:sz="4" w:space="0"/>
              <w:right w:val="single" w:color="000000" w:sz="4" w:space="0"/>
            </w:tcBorders>
            <w:shd w:val="clear" w:color="auto" w:fill="auto"/>
            <w:vAlign w:val="center"/>
          </w:tcPr>
          <w:p>
            <w:pPr>
              <w:shd w:val="clear"/>
              <w:jc w:val="center"/>
              <w:rPr>
                <w:color w:val="auto"/>
              </w:rPr>
            </w:pP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3、货物清单</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加盖公章的货物清单（送货单）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vMerge w:val="restart"/>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肉制品</w:t>
            </w: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1、《检测报告》</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由具资质的质量检测部门出具（一周更新两次）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vMerge w:val="continue"/>
            <w:tcBorders>
              <w:top w:val="nil"/>
              <w:left w:val="single" w:color="000000" w:sz="4" w:space="0"/>
              <w:bottom w:val="single" w:color="000000" w:sz="4" w:space="0"/>
              <w:right w:val="single" w:color="000000" w:sz="4" w:space="0"/>
            </w:tcBorders>
            <w:shd w:val="clear" w:color="auto" w:fill="auto"/>
            <w:vAlign w:val="center"/>
          </w:tcPr>
          <w:p>
            <w:pPr>
              <w:shd w:val="clear"/>
              <w:jc w:val="center"/>
              <w:rPr>
                <w:color w:val="auto"/>
              </w:rPr>
            </w:pP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2、《产品合格证》</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rFonts w:hint="eastAsia" w:eastAsiaTheme="minorEastAsia"/>
                <w:color w:val="auto"/>
                <w:lang w:eastAsia="zh-CN"/>
              </w:rPr>
            </w:pPr>
            <w:r>
              <w:rPr>
                <w:color w:val="auto"/>
                <w:sz w:val="21"/>
              </w:rPr>
              <w:t>交货时提供本批次产品的出厂（库）检验合格证明，随车同行</w:t>
            </w:r>
            <w:r>
              <w:rPr>
                <w:rFonts w:hint="eastAsia"/>
                <w:color w:val="auto"/>
                <w:sz w:val="21"/>
                <w:lang w:eastAsia="zh-CN"/>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vMerge w:val="continue"/>
            <w:tcBorders>
              <w:top w:val="nil"/>
              <w:left w:val="single" w:color="000000" w:sz="4" w:space="0"/>
              <w:bottom w:val="single" w:color="000000" w:sz="4" w:space="0"/>
              <w:right w:val="single" w:color="000000" w:sz="4" w:space="0"/>
            </w:tcBorders>
            <w:shd w:val="clear" w:color="auto" w:fill="auto"/>
            <w:vAlign w:val="center"/>
          </w:tcPr>
          <w:p>
            <w:pPr>
              <w:shd w:val="clear"/>
              <w:jc w:val="center"/>
              <w:rPr>
                <w:color w:val="auto"/>
              </w:rPr>
            </w:pP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3、货物清单</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加盖公章的货物清单（送货单）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vMerge w:val="restart"/>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冷冻水产品</w:t>
            </w: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1、贮存地的出入库检验证明</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交货时提供本批次产品的出厂（库）检验合格证明</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vMerge w:val="continue"/>
            <w:tcBorders>
              <w:top w:val="nil"/>
              <w:left w:val="single" w:color="000000" w:sz="4" w:space="0"/>
              <w:bottom w:val="single" w:color="000000" w:sz="4" w:space="0"/>
              <w:right w:val="single" w:color="000000" w:sz="4" w:space="0"/>
            </w:tcBorders>
            <w:shd w:val="clear" w:color="auto" w:fill="auto"/>
            <w:vAlign w:val="center"/>
          </w:tcPr>
          <w:p>
            <w:pPr>
              <w:shd w:val="clear"/>
              <w:jc w:val="center"/>
              <w:rPr>
                <w:color w:val="auto"/>
              </w:rPr>
            </w:pP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2、货物清单</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加盖公章的货物清单（送货单）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vMerge w:val="restart"/>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蔬菜</w:t>
            </w: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1、检测报告</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供货单位提供自检或委托第三方检验（一周更新一次）的蔬菜农药残留检测合格报告</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vMerge w:val="continue"/>
            <w:tcBorders>
              <w:top w:val="nil"/>
              <w:left w:val="single" w:color="000000" w:sz="4" w:space="0"/>
              <w:bottom w:val="single" w:color="000000" w:sz="4" w:space="0"/>
              <w:right w:val="single" w:color="000000" w:sz="4" w:space="0"/>
            </w:tcBorders>
            <w:shd w:val="clear" w:color="auto" w:fill="auto"/>
            <w:vAlign w:val="center"/>
          </w:tcPr>
          <w:p>
            <w:pPr>
              <w:shd w:val="clear"/>
              <w:jc w:val="center"/>
              <w:rPr>
                <w:color w:val="auto"/>
              </w:rPr>
            </w:pP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2、货物清单</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加盖公章的货物清单（送货单）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副食品</w:t>
            </w: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货物清单</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加盖公章的货物清单（送货单）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鲜活水产品</w:t>
            </w: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货物清单</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加盖公章的货物清单（送货单）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91"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center"/>
              <w:rPr>
                <w:color w:val="auto"/>
              </w:rPr>
            </w:pPr>
            <w:r>
              <w:rPr>
                <w:color w:val="auto"/>
                <w:sz w:val="21"/>
              </w:rPr>
              <w:t>包点粉面类</w:t>
            </w:r>
          </w:p>
        </w:tc>
        <w:tc>
          <w:tcPr>
            <w:tcW w:w="263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货物清单</w:t>
            </w:r>
          </w:p>
        </w:tc>
        <w:tc>
          <w:tcPr>
            <w:tcW w:w="5729" w:type="dxa"/>
            <w:tcBorders>
              <w:top w:val="nil"/>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22"/>
              <w:shd w:val="clear"/>
              <w:ind w:right="45"/>
              <w:jc w:val="both"/>
              <w:rPr>
                <w:color w:val="auto"/>
              </w:rPr>
            </w:pPr>
            <w:r>
              <w:rPr>
                <w:color w:val="auto"/>
                <w:sz w:val="21"/>
              </w:rPr>
              <w:t>加盖公章的货物清单（送货单）</w:t>
            </w:r>
          </w:p>
        </w:tc>
      </w:tr>
    </w:tbl>
    <w:p>
      <w:pPr>
        <w:pStyle w:val="22"/>
        <w:shd w:val="clear"/>
        <w:ind w:firstLine="422" w:firstLineChars="200"/>
        <w:jc w:val="both"/>
        <w:rPr>
          <w:color w:val="auto"/>
        </w:rPr>
      </w:pPr>
      <w:r>
        <w:rPr>
          <w:b/>
          <w:color w:val="auto"/>
          <w:sz w:val="21"/>
        </w:rPr>
        <w:t>八、食品安全责任险</w:t>
      </w:r>
    </w:p>
    <w:p>
      <w:pPr>
        <w:pStyle w:val="22"/>
        <w:shd w:val="clear"/>
        <w:ind w:firstLine="420"/>
        <w:jc w:val="both"/>
        <w:rPr>
          <w:color w:val="auto"/>
        </w:rPr>
      </w:pPr>
      <w:r>
        <w:rPr>
          <w:rFonts w:hint="eastAsia"/>
          <w:color w:val="auto"/>
          <w:sz w:val="21"/>
          <w:lang w:eastAsia="zh-CN"/>
        </w:rPr>
        <w:t>供应商</w:t>
      </w:r>
      <w:r>
        <w:rPr>
          <w:color w:val="auto"/>
          <w:sz w:val="21"/>
        </w:rPr>
        <w:t>须在中标服务期间投保食品安全责任险（以</w:t>
      </w:r>
      <w:r>
        <w:rPr>
          <w:rFonts w:hint="eastAsia"/>
          <w:color w:val="auto"/>
          <w:sz w:val="21"/>
          <w:lang w:eastAsia="zh-CN"/>
        </w:rPr>
        <w:t>供应商</w:t>
      </w:r>
      <w:r>
        <w:rPr>
          <w:color w:val="auto"/>
          <w:sz w:val="21"/>
        </w:rPr>
        <w:t>名义投保），且保险期限内最高赔偿额不少于人民币1000万元，鼓励</w:t>
      </w:r>
      <w:r>
        <w:rPr>
          <w:rFonts w:hint="eastAsia"/>
          <w:color w:val="auto"/>
          <w:sz w:val="21"/>
          <w:lang w:eastAsia="zh-CN"/>
        </w:rPr>
        <w:t>供应商</w:t>
      </w:r>
      <w:r>
        <w:rPr>
          <w:color w:val="auto"/>
          <w:sz w:val="21"/>
        </w:rPr>
        <w:t>投保更高赔偿额的食品安全责任险。</w:t>
      </w:r>
    </w:p>
    <w:p>
      <w:pPr>
        <w:pStyle w:val="22"/>
        <w:shd w:val="clear"/>
        <w:ind w:firstLine="422"/>
        <w:jc w:val="both"/>
        <w:rPr>
          <w:rFonts w:hint="eastAsia" w:eastAsiaTheme="minorEastAsia"/>
          <w:color w:val="auto"/>
          <w:lang w:eastAsia="zh-CN"/>
        </w:rPr>
      </w:pPr>
      <w:r>
        <w:rPr>
          <w:rFonts w:hint="eastAsia"/>
          <w:b/>
          <w:color w:val="auto"/>
          <w:sz w:val="21"/>
          <w:lang w:val="en-US" w:eastAsia="zh-CN"/>
        </w:rPr>
        <w:t>九</w:t>
      </w:r>
      <w:r>
        <w:rPr>
          <w:b/>
          <w:color w:val="auto"/>
          <w:sz w:val="21"/>
        </w:rPr>
        <w:t>、肉菜包点清单</w:t>
      </w:r>
      <w:r>
        <w:rPr>
          <w:rFonts w:hint="eastAsia"/>
          <w:b/>
          <w:color w:val="auto"/>
          <w:sz w:val="21"/>
          <w:lang w:eastAsia="zh-CN"/>
        </w:rPr>
        <w:t>（</w:t>
      </w:r>
      <w:r>
        <w:rPr>
          <w:rFonts w:hint="eastAsia"/>
          <w:b/>
          <w:color w:val="auto"/>
          <w:sz w:val="21"/>
          <w:lang w:val="en-US" w:eastAsia="zh-CN"/>
        </w:rPr>
        <w:t>供参考</w:t>
      </w:r>
      <w:r>
        <w:rPr>
          <w:rFonts w:hint="eastAsia"/>
          <w:b/>
          <w:color w:val="auto"/>
          <w:sz w:val="21"/>
          <w:lang w:eastAsia="zh-CN"/>
        </w:rPr>
        <w:t>）</w:t>
      </w:r>
    </w:p>
    <w:tbl>
      <w:tblPr>
        <w:tblStyle w:val="10"/>
        <w:tblW w:w="9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2079"/>
        <w:gridCol w:w="1391"/>
        <w:gridCol w:w="1953"/>
        <w:gridCol w:w="1224"/>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9" w:type="dxa"/>
            <w:gridSpan w:val="6"/>
            <w:tcMar>
              <w:top w:w="0" w:type="dxa"/>
              <w:left w:w="105" w:type="dxa"/>
              <w:bottom w:w="0" w:type="dxa"/>
              <w:right w:w="105" w:type="dxa"/>
            </w:tcMar>
            <w:vAlign w:val="center"/>
          </w:tcPr>
          <w:p>
            <w:pPr>
              <w:pStyle w:val="22"/>
              <w:shd w:val="clear"/>
              <w:jc w:val="both"/>
              <w:rPr>
                <w:color w:val="auto"/>
              </w:rPr>
            </w:pPr>
            <w:r>
              <w:rPr>
                <w:b/>
                <w:color w:val="auto"/>
                <w:sz w:val="21"/>
              </w:rPr>
              <w:t>（一）鲜肉类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9" w:type="dxa"/>
            <w:gridSpan w:val="6"/>
            <w:tcMar>
              <w:top w:w="0" w:type="dxa"/>
              <w:left w:w="105" w:type="dxa"/>
              <w:bottom w:w="0" w:type="dxa"/>
              <w:right w:w="105" w:type="dxa"/>
            </w:tcMar>
            <w:vAlign w:val="center"/>
          </w:tcPr>
          <w:p>
            <w:pPr>
              <w:pStyle w:val="22"/>
              <w:shd w:val="clear"/>
              <w:jc w:val="both"/>
              <w:rPr>
                <w:color w:val="auto"/>
              </w:rPr>
            </w:pPr>
            <w:r>
              <w:rPr>
                <w:b/>
                <w:color w:val="auto"/>
                <w:sz w:val="21"/>
              </w:rPr>
              <w:t>1、猪肉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2079"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c>
          <w:tcPr>
            <w:tcW w:w="1391"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1953"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c>
          <w:tcPr>
            <w:tcW w:w="1224"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2127"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带皮上肉</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15</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带皮花肉</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29</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去皮上肉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去皮花肉</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16</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带皮猪踭</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30</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去皮猪踭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3</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赤肉</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17</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枚肉</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31</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枚柳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4</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一字枚</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18</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肉眼</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32</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猪展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5</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鲜排骨</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19</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肋排</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33</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6</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猪手、脚</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20</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龙骨</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34</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筒骨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7</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尾脊骨</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21</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猪头骨</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35</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扇骨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8</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肥肉</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22</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猪颈肉</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36</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圆蹄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9</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蹄筋</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23</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猪肝</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37</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猪心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10</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猪肚</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24</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猪腰</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38</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猪俐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11</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猪尾</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25</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小肚</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39</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大肠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12</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大肠头</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26</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粉肠</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40</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猪皮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13</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猪肺</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27</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生肠</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41</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猪红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14</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大油</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28</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猪肉滑</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9" w:type="dxa"/>
            <w:gridSpan w:val="6"/>
            <w:tcMar>
              <w:top w:w="0" w:type="dxa"/>
              <w:left w:w="105" w:type="dxa"/>
              <w:bottom w:w="0" w:type="dxa"/>
              <w:right w:w="105" w:type="dxa"/>
            </w:tcMar>
            <w:vAlign w:val="center"/>
          </w:tcPr>
          <w:p>
            <w:pPr>
              <w:pStyle w:val="22"/>
              <w:shd w:val="clear"/>
              <w:jc w:val="both"/>
              <w:rPr>
                <w:color w:val="auto"/>
              </w:rPr>
            </w:pPr>
            <w:r>
              <w:rPr>
                <w:b/>
                <w:color w:val="auto"/>
                <w:sz w:val="21"/>
              </w:rPr>
              <w:t>2、牛肉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2079"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c>
          <w:tcPr>
            <w:tcW w:w="1391"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1953"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c>
          <w:tcPr>
            <w:tcW w:w="1224"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2127"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牛肉</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5</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牛霖</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9</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牛百叶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牛展</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6</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牛柳</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10</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牛坑腩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3</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牛碎腩</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7</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牛肉滑</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11</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腌牛肉片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4</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牛心</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8</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牛骨头</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9" w:type="dxa"/>
            <w:gridSpan w:val="6"/>
            <w:tcMar>
              <w:top w:w="0" w:type="dxa"/>
              <w:left w:w="105" w:type="dxa"/>
              <w:bottom w:w="0" w:type="dxa"/>
              <w:right w:w="105" w:type="dxa"/>
            </w:tcMar>
            <w:vAlign w:val="center"/>
          </w:tcPr>
          <w:p>
            <w:pPr>
              <w:pStyle w:val="22"/>
              <w:shd w:val="clear"/>
              <w:jc w:val="both"/>
              <w:rPr>
                <w:color w:val="auto"/>
              </w:rPr>
            </w:pPr>
            <w:r>
              <w:rPr>
                <w:b/>
                <w:color w:val="auto"/>
                <w:sz w:val="21"/>
              </w:rPr>
              <w:t>3、禽鸟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2079"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c>
          <w:tcPr>
            <w:tcW w:w="1391"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1953"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c>
          <w:tcPr>
            <w:tcW w:w="1224"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2127"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光鸡</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5</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清远麻鸡</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9</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江西鸡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老鸡</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6</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竹丝鸡</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10</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正宗走地鸡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3</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水鸭</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7</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番鸭</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11</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光鸭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4</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鹌鹑</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8</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乳鸽</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9" w:type="dxa"/>
            <w:gridSpan w:val="6"/>
            <w:tcMar>
              <w:top w:w="0" w:type="dxa"/>
              <w:left w:w="105" w:type="dxa"/>
              <w:bottom w:w="0" w:type="dxa"/>
              <w:right w:w="105" w:type="dxa"/>
            </w:tcMar>
            <w:vAlign w:val="center"/>
          </w:tcPr>
          <w:p>
            <w:pPr>
              <w:pStyle w:val="22"/>
              <w:shd w:val="clear"/>
              <w:jc w:val="both"/>
              <w:rPr>
                <w:color w:val="auto"/>
              </w:rPr>
            </w:pPr>
            <w:r>
              <w:rPr>
                <w:b/>
                <w:color w:val="auto"/>
                <w:sz w:val="21"/>
              </w:rPr>
              <w:t>（二）鱼类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2079"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c>
          <w:tcPr>
            <w:tcW w:w="1391"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1953"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c>
          <w:tcPr>
            <w:tcW w:w="1224"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2127"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鲩鱼</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6</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生鱼</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11</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鲮鱼肉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大扁鱼</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7</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金鲳鱼</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12</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大鱼骨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3</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大头鱼</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8</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塘虱鱼</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13</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大鱼尾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4</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福寿鱼</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9</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太阳鱼</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14</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钳鱼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5</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鲈鱼</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10</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鲫鱼</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15</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黄骨鱼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9" w:type="dxa"/>
            <w:gridSpan w:val="6"/>
            <w:tcMar>
              <w:top w:w="0" w:type="dxa"/>
              <w:left w:w="105" w:type="dxa"/>
              <w:bottom w:w="0" w:type="dxa"/>
              <w:right w:w="105" w:type="dxa"/>
            </w:tcMar>
            <w:vAlign w:val="center"/>
          </w:tcPr>
          <w:p>
            <w:pPr>
              <w:pStyle w:val="22"/>
              <w:shd w:val="clear"/>
              <w:jc w:val="both"/>
              <w:rPr>
                <w:color w:val="auto"/>
              </w:rPr>
            </w:pPr>
            <w:r>
              <w:rPr>
                <w:b/>
                <w:color w:val="auto"/>
                <w:sz w:val="21"/>
              </w:rPr>
              <w:t>（三）冷冻类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2079"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c>
          <w:tcPr>
            <w:tcW w:w="1391"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1953"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c>
          <w:tcPr>
            <w:tcW w:w="1224"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2127"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冻鸡胸肉</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13</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冻猪手</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25</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冻鱿鱼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鸡中亦</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14</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冻猪脚</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26</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冻猪肚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3</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冻鸡壳</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15</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冻猪耳</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27</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冻带鱼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4</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冻无皮花肉</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16</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冻有皮花肉</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28</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冻鱿鱼须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5</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鸡亦尖</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17</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冻前排</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29</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冻红珊鱼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6</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冻鸡肾</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18</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冻肋排</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30</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冻南昌鱼(中)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7</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冻鸡脚</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19</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冻小排</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31</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冻鱿鱼亦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8</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小鸡腿</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20</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冻筒骨</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32</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冰鲜秋刀鱼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9</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大鸡腿</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21</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冻青豆/粒</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33</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金锣肋排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10</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冻猪舌</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22</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冻玉米/粒</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34</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冻兔肉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11</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冻猪肚</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23</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冻鸭肾</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35</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冻龙骨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12</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冻扇骨</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24</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冰鲜红珊鱼</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36</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冻南仓鱼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9" w:type="dxa"/>
            <w:gridSpan w:val="6"/>
            <w:tcMar>
              <w:top w:w="0" w:type="dxa"/>
              <w:left w:w="105" w:type="dxa"/>
              <w:bottom w:w="0" w:type="dxa"/>
              <w:right w:w="105" w:type="dxa"/>
            </w:tcMar>
            <w:vAlign w:val="center"/>
          </w:tcPr>
          <w:p>
            <w:pPr>
              <w:pStyle w:val="22"/>
              <w:shd w:val="clear"/>
              <w:jc w:val="both"/>
              <w:rPr>
                <w:color w:val="auto"/>
              </w:rPr>
            </w:pPr>
            <w:r>
              <w:rPr>
                <w:b/>
                <w:color w:val="auto"/>
                <w:sz w:val="21"/>
              </w:rPr>
              <w:t>（四）青菜类、瓜豆类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2079"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c>
          <w:tcPr>
            <w:tcW w:w="1391"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1953"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c>
          <w:tcPr>
            <w:tcW w:w="1224"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2127"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潺菜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37</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红尖椒</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73</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雪里红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苋菜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38</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鲜淮山</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74</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榨菜丝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3</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通心菜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39</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土豆</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75</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什锦菜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4</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春菜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40</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莲藕</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76</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无叶酸菜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5</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小白菜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41</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西红柿</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77</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酸笋片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6</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小塘菜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42</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白萝卜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78</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鲜木耳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7</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菜心</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43</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红萝卜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79</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绿色海带丝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8</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奶白菜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44</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青萝卜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80</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带皮玉米棒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9</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菠菜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45</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冬瓜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81</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去皮玉米棒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10</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芥菜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46</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苦瓜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82</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荷兰豆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11</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芥兰菜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47</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白瓜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83</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甜豆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12</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西洋菜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48</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青瓜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84</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玉豆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13</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生菜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49</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茄瓜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85</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白豆角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14</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油麦菜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50</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青木瓜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86</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青豆角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15</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枸杞叶</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51</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半生熟木瓜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87</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番薯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16</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椰菜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52</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节瓜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88</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蒜苔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17</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苦麦菜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53</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水瓜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89</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青蒜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18</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枸杞菜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54</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丝瓜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90</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干葱头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19</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大白菜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55</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南瓜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91</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马蹄肉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20</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潮州白菜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56</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云南小瓜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92</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鲜玉米粒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21</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长白菜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57</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浦瓜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93</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鲜笋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22</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京包菜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58</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鲜草菇</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94</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洋葱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23</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菜花</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59</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鲜冬菇</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95</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香芋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24</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西芹</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60</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茶树菇</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96</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蒜头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25</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正宗香芹</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61</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鸡腿菇</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97</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蒜米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26</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椰子/个</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62</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鲜平菇</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98</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姜肉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27</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香菜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63</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金针菇</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99</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生姜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28</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韭菜</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64</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百合/包</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100</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鲜沙姜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29</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韭黄</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65</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酸豆角</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101</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绿豆芽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30</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韭菜花</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66</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萝卜干</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102</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黄豆芽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31</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生葱</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67</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萝卜条</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103</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本地新土豆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32</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北方京葱</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68</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榨菜粒</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104</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无土番茄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33</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莴笋</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69</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有叶酸菜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105</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茅根/湿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34</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西兰花</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70</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咸梅菜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106</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竹蔗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35</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圆椒</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71</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甜梅菜</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107</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沙葛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36</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尖椒</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72</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榨菜/件</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108</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粉葛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9" w:type="dxa"/>
            <w:gridSpan w:val="6"/>
            <w:tcMar>
              <w:top w:w="0" w:type="dxa"/>
              <w:left w:w="105" w:type="dxa"/>
              <w:bottom w:w="0" w:type="dxa"/>
              <w:right w:w="105" w:type="dxa"/>
            </w:tcMar>
            <w:vAlign w:val="center"/>
          </w:tcPr>
          <w:p>
            <w:pPr>
              <w:pStyle w:val="22"/>
              <w:shd w:val="clear"/>
              <w:jc w:val="both"/>
              <w:rPr>
                <w:color w:val="auto"/>
                <w:sz w:val="21"/>
              </w:rPr>
            </w:pPr>
            <w:r>
              <w:rPr>
                <w:b/>
                <w:color w:val="auto"/>
                <w:sz w:val="21"/>
              </w:rPr>
              <w:t>（五）</w:t>
            </w:r>
            <w:r>
              <w:rPr>
                <w:rFonts w:hint="eastAsia"/>
                <w:b/>
                <w:color w:val="auto"/>
                <w:sz w:val="21"/>
                <w:lang w:eastAsia="zh-CN"/>
              </w:rPr>
              <w:t>水果</w:t>
            </w:r>
            <w:r>
              <w:rPr>
                <w:b/>
                <w:color w:val="auto"/>
                <w:sz w:val="21"/>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序号</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名称</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序号</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名称</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序号</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sz w:val="21"/>
                <w:lang w:val="en-US" w:eastAsia="zh-Hans"/>
              </w:rPr>
            </w:pPr>
            <w:r>
              <w:rPr>
                <w:color w:val="auto"/>
                <w:sz w:val="21"/>
              </w:rPr>
              <w:t>1</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sz w:val="21"/>
                <w:lang w:val="en-US" w:eastAsia="zh-Hans"/>
              </w:rPr>
            </w:pPr>
            <w:r>
              <w:rPr>
                <w:color w:val="auto"/>
                <w:sz w:val="21"/>
              </w:rPr>
              <w:t>水晶红富士苹果</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sz w:val="21"/>
                <w:lang w:val="en-US" w:eastAsia="zh-Hans"/>
              </w:rPr>
            </w:pPr>
            <w:r>
              <w:rPr>
                <w:color w:val="auto"/>
                <w:sz w:val="21"/>
              </w:rPr>
              <w:t>7</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sz w:val="21"/>
                <w:lang w:val="en-US" w:eastAsia="zh-Hans"/>
              </w:rPr>
            </w:pPr>
            <w:r>
              <w:rPr>
                <w:color w:val="auto"/>
                <w:sz w:val="21"/>
              </w:rPr>
              <w:t>香蕉</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sz w:val="21"/>
                <w:lang w:val="en-US" w:eastAsia="zh-Hans"/>
              </w:rPr>
            </w:pPr>
            <w:r>
              <w:rPr>
                <w:color w:val="auto"/>
                <w:sz w:val="21"/>
              </w:rPr>
              <w:t>13</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sz w:val="21"/>
                <w:lang w:val="en-US" w:eastAsia="zh-Hans"/>
              </w:rPr>
            </w:pPr>
            <w:r>
              <w:rPr>
                <w:color w:val="auto"/>
                <w:sz w:val="21"/>
              </w:rPr>
              <w:t>红圣女果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sz w:val="21"/>
              </w:rPr>
            </w:pPr>
            <w:r>
              <w:rPr>
                <w:color w:val="auto"/>
                <w:sz w:val="21"/>
              </w:rPr>
              <w:t>2</w:t>
            </w:r>
          </w:p>
        </w:tc>
        <w:tc>
          <w:tcPr>
            <w:tcW w:w="2079" w:type="dxa"/>
            <w:tcMar>
              <w:top w:w="0" w:type="dxa"/>
              <w:left w:w="105" w:type="dxa"/>
              <w:bottom w:w="0" w:type="dxa"/>
              <w:right w:w="105" w:type="dxa"/>
            </w:tcMar>
            <w:vAlign w:val="center"/>
          </w:tcPr>
          <w:p>
            <w:pPr>
              <w:pStyle w:val="22"/>
              <w:shd w:val="clear"/>
              <w:jc w:val="center"/>
              <w:rPr>
                <w:color w:val="auto"/>
                <w:sz w:val="21"/>
              </w:rPr>
            </w:pPr>
            <w:r>
              <w:rPr>
                <w:color w:val="auto"/>
                <w:sz w:val="21"/>
              </w:rPr>
              <w:t>苹果</w:t>
            </w:r>
          </w:p>
        </w:tc>
        <w:tc>
          <w:tcPr>
            <w:tcW w:w="1391" w:type="dxa"/>
            <w:tcMar>
              <w:top w:w="0" w:type="dxa"/>
              <w:left w:w="105" w:type="dxa"/>
              <w:bottom w:w="0" w:type="dxa"/>
              <w:right w:w="105" w:type="dxa"/>
            </w:tcMar>
            <w:vAlign w:val="center"/>
          </w:tcPr>
          <w:p>
            <w:pPr>
              <w:pStyle w:val="22"/>
              <w:shd w:val="clear"/>
              <w:jc w:val="center"/>
              <w:rPr>
                <w:color w:val="auto"/>
                <w:sz w:val="21"/>
              </w:rPr>
            </w:pPr>
            <w:r>
              <w:rPr>
                <w:color w:val="auto"/>
                <w:sz w:val="21"/>
              </w:rPr>
              <w:t>8</w:t>
            </w:r>
          </w:p>
        </w:tc>
        <w:tc>
          <w:tcPr>
            <w:tcW w:w="1953" w:type="dxa"/>
            <w:tcMar>
              <w:top w:w="0" w:type="dxa"/>
              <w:left w:w="105" w:type="dxa"/>
              <w:bottom w:w="0" w:type="dxa"/>
              <w:right w:w="105" w:type="dxa"/>
            </w:tcMar>
            <w:vAlign w:val="center"/>
          </w:tcPr>
          <w:p>
            <w:pPr>
              <w:pStyle w:val="22"/>
              <w:shd w:val="clear"/>
              <w:jc w:val="center"/>
              <w:rPr>
                <w:color w:val="auto"/>
                <w:sz w:val="21"/>
              </w:rPr>
            </w:pPr>
            <w:r>
              <w:rPr>
                <w:color w:val="auto"/>
                <w:sz w:val="21"/>
              </w:rPr>
              <w:t>香梨</w:t>
            </w:r>
          </w:p>
        </w:tc>
        <w:tc>
          <w:tcPr>
            <w:tcW w:w="1224" w:type="dxa"/>
            <w:tcMar>
              <w:top w:w="0" w:type="dxa"/>
              <w:left w:w="105" w:type="dxa"/>
              <w:bottom w:w="0" w:type="dxa"/>
              <w:right w:w="105" w:type="dxa"/>
            </w:tcMar>
            <w:vAlign w:val="center"/>
          </w:tcPr>
          <w:p>
            <w:pPr>
              <w:pStyle w:val="22"/>
              <w:shd w:val="clear"/>
              <w:jc w:val="center"/>
              <w:rPr>
                <w:color w:val="auto"/>
                <w:sz w:val="21"/>
              </w:rPr>
            </w:pPr>
            <w:r>
              <w:rPr>
                <w:color w:val="auto"/>
                <w:sz w:val="21"/>
              </w:rPr>
              <w:t>14</w:t>
            </w:r>
          </w:p>
        </w:tc>
        <w:tc>
          <w:tcPr>
            <w:tcW w:w="2127" w:type="dxa"/>
            <w:tcMar>
              <w:top w:w="0" w:type="dxa"/>
              <w:left w:w="105" w:type="dxa"/>
              <w:bottom w:w="0" w:type="dxa"/>
              <w:right w:w="105" w:type="dxa"/>
            </w:tcMar>
            <w:vAlign w:val="center"/>
          </w:tcPr>
          <w:p>
            <w:pPr>
              <w:pStyle w:val="22"/>
              <w:shd w:val="clear"/>
              <w:jc w:val="center"/>
              <w:rPr>
                <w:color w:val="auto"/>
                <w:sz w:val="21"/>
              </w:rPr>
            </w:pPr>
            <w:r>
              <w:rPr>
                <w:color w:val="auto"/>
                <w:sz w:val="21"/>
              </w:rPr>
              <w:t>粉蕉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sz w:val="21"/>
              </w:rPr>
            </w:pPr>
            <w:r>
              <w:rPr>
                <w:color w:val="auto"/>
                <w:sz w:val="21"/>
              </w:rPr>
              <w:t>3</w:t>
            </w:r>
          </w:p>
        </w:tc>
        <w:tc>
          <w:tcPr>
            <w:tcW w:w="2079" w:type="dxa"/>
            <w:tcMar>
              <w:top w:w="0" w:type="dxa"/>
              <w:left w:w="105" w:type="dxa"/>
              <w:bottom w:w="0" w:type="dxa"/>
              <w:right w:w="105" w:type="dxa"/>
            </w:tcMar>
            <w:vAlign w:val="center"/>
          </w:tcPr>
          <w:p>
            <w:pPr>
              <w:pStyle w:val="22"/>
              <w:shd w:val="clear"/>
              <w:jc w:val="center"/>
              <w:rPr>
                <w:color w:val="auto"/>
                <w:sz w:val="21"/>
              </w:rPr>
            </w:pPr>
            <w:r>
              <w:rPr>
                <w:color w:val="auto"/>
                <w:sz w:val="21"/>
              </w:rPr>
              <w:t>火龙果</w:t>
            </w:r>
          </w:p>
        </w:tc>
        <w:tc>
          <w:tcPr>
            <w:tcW w:w="1391" w:type="dxa"/>
            <w:tcMar>
              <w:top w:w="0" w:type="dxa"/>
              <w:left w:w="105" w:type="dxa"/>
              <w:bottom w:w="0" w:type="dxa"/>
              <w:right w:w="105" w:type="dxa"/>
            </w:tcMar>
            <w:vAlign w:val="center"/>
          </w:tcPr>
          <w:p>
            <w:pPr>
              <w:pStyle w:val="22"/>
              <w:shd w:val="clear"/>
              <w:jc w:val="center"/>
              <w:rPr>
                <w:color w:val="auto"/>
                <w:sz w:val="21"/>
              </w:rPr>
            </w:pPr>
            <w:r>
              <w:rPr>
                <w:color w:val="auto"/>
                <w:sz w:val="21"/>
              </w:rPr>
              <w:t>9</w:t>
            </w:r>
          </w:p>
        </w:tc>
        <w:tc>
          <w:tcPr>
            <w:tcW w:w="1953" w:type="dxa"/>
            <w:tcMar>
              <w:top w:w="0" w:type="dxa"/>
              <w:left w:w="105" w:type="dxa"/>
              <w:bottom w:w="0" w:type="dxa"/>
              <w:right w:w="105" w:type="dxa"/>
            </w:tcMar>
            <w:vAlign w:val="center"/>
          </w:tcPr>
          <w:p>
            <w:pPr>
              <w:pStyle w:val="22"/>
              <w:shd w:val="clear"/>
              <w:jc w:val="center"/>
              <w:rPr>
                <w:color w:val="auto"/>
                <w:sz w:val="21"/>
              </w:rPr>
            </w:pPr>
            <w:r>
              <w:rPr>
                <w:color w:val="auto"/>
                <w:sz w:val="21"/>
              </w:rPr>
              <w:t>番石榴</w:t>
            </w:r>
          </w:p>
        </w:tc>
        <w:tc>
          <w:tcPr>
            <w:tcW w:w="1224" w:type="dxa"/>
            <w:tcMar>
              <w:top w:w="0" w:type="dxa"/>
              <w:left w:w="105" w:type="dxa"/>
              <w:bottom w:w="0" w:type="dxa"/>
              <w:right w:w="105" w:type="dxa"/>
            </w:tcMar>
            <w:vAlign w:val="center"/>
          </w:tcPr>
          <w:p>
            <w:pPr>
              <w:pStyle w:val="22"/>
              <w:shd w:val="clear"/>
              <w:jc w:val="center"/>
              <w:rPr>
                <w:color w:val="auto"/>
                <w:sz w:val="21"/>
              </w:rPr>
            </w:pPr>
            <w:r>
              <w:rPr>
                <w:color w:val="auto"/>
                <w:sz w:val="21"/>
              </w:rPr>
              <w:t>15</w:t>
            </w:r>
          </w:p>
        </w:tc>
        <w:tc>
          <w:tcPr>
            <w:tcW w:w="2127" w:type="dxa"/>
            <w:tcMar>
              <w:top w:w="0" w:type="dxa"/>
              <w:left w:w="105" w:type="dxa"/>
              <w:bottom w:w="0" w:type="dxa"/>
              <w:right w:w="105" w:type="dxa"/>
            </w:tcMar>
            <w:vAlign w:val="center"/>
          </w:tcPr>
          <w:p>
            <w:pPr>
              <w:pStyle w:val="22"/>
              <w:shd w:val="clear"/>
              <w:jc w:val="center"/>
              <w:rPr>
                <w:color w:val="auto"/>
                <w:sz w:val="21"/>
              </w:rPr>
            </w:pPr>
            <w:r>
              <w:rPr>
                <w:color w:val="auto"/>
                <w:sz w:val="21"/>
              </w:rPr>
              <w:t>橘子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sz w:val="21"/>
              </w:rPr>
            </w:pPr>
            <w:r>
              <w:rPr>
                <w:color w:val="auto"/>
                <w:sz w:val="21"/>
              </w:rPr>
              <w:t>4</w:t>
            </w:r>
          </w:p>
        </w:tc>
        <w:tc>
          <w:tcPr>
            <w:tcW w:w="2079" w:type="dxa"/>
            <w:tcMar>
              <w:top w:w="0" w:type="dxa"/>
              <w:left w:w="105" w:type="dxa"/>
              <w:bottom w:w="0" w:type="dxa"/>
              <w:right w:w="105" w:type="dxa"/>
            </w:tcMar>
            <w:vAlign w:val="center"/>
          </w:tcPr>
          <w:p>
            <w:pPr>
              <w:pStyle w:val="22"/>
              <w:shd w:val="clear"/>
              <w:jc w:val="center"/>
              <w:rPr>
                <w:color w:val="auto"/>
                <w:sz w:val="21"/>
              </w:rPr>
            </w:pPr>
            <w:r>
              <w:rPr>
                <w:color w:val="auto"/>
                <w:sz w:val="21"/>
              </w:rPr>
              <w:t>河北雪梨</w:t>
            </w:r>
          </w:p>
        </w:tc>
        <w:tc>
          <w:tcPr>
            <w:tcW w:w="1391" w:type="dxa"/>
            <w:tcMar>
              <w:top w:w="0" w:type="dxa"/>
              <w:left w:w="105" w:type="dxa"/>
              <w:bottom w:w="0" w:type="dxa"/>
              <w:right w:w="105" w:type="dxa"/>
            </w:tcMar>
            <w:vAlign w:val="center"/>
          </w:tcPr>
          <w:p>
            <w:pPr>
              <w:pStyle w:val="22"/>
              <w:shd w:val="clear"/>
              <w:jc w:val="center"/>
              <w:rPr>
                <w:color w:val="auto"/>
                <w:sz w:val="21"/>
              </w:rPr>
            </w:pPr>
            <w:r>
              <w:rPr>
                <w:color w:val="auto"/>
                <w:sz w:val="21"/>
              </w:rPr>
              <w:t>10</w:t>
            </w:r>
          </w:p>
        </w:tc>
        <w:tc>
          <w:tcPr>
            <w:tcW w:w="1953" w:type="dxa"/>
            <w:tcMar>
              <w:top w:w="0" w:type="dxa"/>
              <w:left w:w="105" w:type="dxa"/>
              <w:bottom w:w="0" w:type="dxa"/>
              <w:right w:w="105" w:type="dxa"/>
            </w:tcMar>
            <w:vAlign w:val="center"/>
          </w:tcPr>
          <w:p>
            <w:pPr>
              <w:pStyle w:val="22"/>
              <w:shd w:val="clear"/>
              <w:jc w:val="center"/>
              <w:rPr>
                <w:color w:val="auto"/>
                <w:sz w:val="21"/>
              </w:rPr>
            </w:pPr>
            <w:r>
              <w:rPr>
                <w:color w:val="auto"/>
                <w:sz w:val="21"/>
              </w:rPr>
              <w:t>黑美人西瓜</w:t>
            </w:r>
          </w:p>
        </w:tc>
        <w:tc>
          <w:tcPr>
            <w:tcW w:w="1224" w:type="dxa"/>
            <w:tcMar>
              <w:top w:w="0" w:type="dxa"/>
              <w:left w:w="105" w:type="dxa"/>
              <w:bottom w:w="0" w:type="dxa"/>
              <w:right w:w="105" w:type="dxa"/>
            </w:tcMar>
            <w:vAlign w:val="center"/>
          </w:tcPr>
          <w:p>
            <w:pPr>
              <w:pStyle w:val="22"/>
              <w:shd w:val="clear"/>
              <w:jc w:val="center"/>
              <w:rPr>
                <w:color w:val="auto"/>
                <w:sz w:val="21"/>
              </w:rPr>
            </w:pPr>
            <w:r>
              <w:rPr>
                <w:color w:val="auto"/>
                <w:sz w:val="21"/>
              </w:rPr>
              <w:t>16</w:t>
            </w:r>
          </w:p>
        </w:tc>
        <w:tc>
          <w:tcPr>
            <w:tcW w:w="2127" w:type="dxa"/>
            <w:tcMar>
              <w:top w:w="0" w:type="dxa"/>
              <w:left w:w="105" w:type="dxa"/>
              <w:bottom w:w="0" w:type="dxa"/>
              <w:right w:w="105" w:type="dxa"/>
            </w:tcMar>
            <w:vAlign w:val="center"/>
          </w:tcPr>
          <w:p>
            <w:pPr>
              <w:pStyle w:val="22"/>
              <w:shd w:val="clear"/>
              <w:jc w:val="center"/>
              <w:rPr>
                <w:color w:val="auto"/>
                <w:sz w:val="21"/>
              </w:rPr>
            </w:pPr>
            <w:r>
              <w:rPr>
                <w:color w:val="auto"/>
                <w:sz w:val="21"/>
              </w:rPr>
              <w:t>甜橙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sz w:val="21"/>
              </w:rPr>
            </w:pPr>
            <w:r>
              <w:rPr>
                <w:color w:val="auto"/>
                <w:sz w:val="21"/>
              </w:rPr>
              <w:t>5</w:t>
            </w:r>
          </w:p>
        </w:tc>
        <w:tc>
          <w:tcPr>
            <w:tcW w:w="2079" w:type="dxa"/>
            <w:tcMar>
              <w:top w:w="0" w:type="dxa"/>
              <w:left w:w="105" w:type="dxa"/>
              <w:bottom w:w="0" w:type="dxa"/>
              <w:right w:w="105" w:type="dxa"/>
            </w:tcMar>
            <w:vAlign w:val="center"/>
          </w:tcPr>
          <w:p>
            <w:pPr>
              <w:pStyle w:val="22"/>
              <w:shd w:val="clear"/>
              <w:jc w:val="center"/>
              <w:rPr>
                <w:color w:val="auto"/>
                <w:sz w:val="21"/>
              </w:rPr>
            </w:pPr>
            <w:r>
              <w:rPr>
                <w:color w:val="auto"/>
                <w:sz w:val="21"/>
              </w:rPr>
              <w:t>蜜柚</w:t>
            </w:r>
          </w:p>
        </w:tc>
        <w:tc>
          <w:tcPr>
            <w:tcW w:w="1391" w:type="dxa"/>
            <w:tcMar>
              <w:top w:w="0" w:type="dxa"/>
              <w:left w:w="105" w:type="dxa"/>
              <w:bottom w:w="0" w:type="dxa"/>
              <w:right w:w="105" w:type="dxa"/>
            </w:tcMar>
            <w:vAlign w:val="center"/>
          </w:tcPr>
          <w:p>
            <w:pPr>
              <w:pStyle w:val="22"/>
              <w:shd w:val="clear"/>
              <w:jc w:val="center"/>
              <w:rPr>
                <w:color w:val="auto"/>
                <w:sz w:val="21"/>
              </w:rPr>
            </w:pPr>
            <w:r>
              <w:rPr>
                <w:color w:val="auto"/>
                <w:sz w:val="21"/>
              </w:rPr>
              <w:t>11</w:t>
            </w:r>
          </w:p>
        </w:tc>
        <w:tc>
          <w:tcPr>
            <w:tcW w:w="1953" w:type="dxa"/>
            <w:tcMar>
              <w:top w:w="0" w:type="dxa"/>
              <w:left w:w="105" w:type="dxa"/>
              <w:bottom w:w="0" w:type="dxa"/>
              <w:right w:w="105" w:type="dxa"/>
            </w:tcMar>
            <w:vAlign w:val="center"/>
          </w:tcPr>
          <w:p>
            <w:pPr>
              <w:pStyle w:val="22"/>
              <w:shd w:val="clear"/>
              <w:jc w:val="center"/>
              <w:rPr>
                <w:color w:val="auto"/>
                <w:sz w:val="21"/>
              </w:rPr>
            </w:pPr>
            <w:r>
              <w:rPr>
                <w:color w:val="auto"/>
                <w:sz w:val="21"/>
              </w:rPr>
              <w:t>皇帝柑</w:t>
            </w:r>
          </w:p>
        </w:tc>
        <w:tc>
          <w:tcPr>
            <w:tcW w:w="1224" w:type="dxa"/>
            <w:tcMar>
              <w:top w:w="0" w:type="dxa"/>
              <w:left w:w="105" w:type="dxa"/>
              <w:bottom w:w="0" w:type="dxa"/>
              <w:right w:w="105" w:type="dxa"/>
            </w:tcMar>
            <w:vAlign w:val="center"/>
          </w:tcPr>
          <w:p>
            <w:pPr>
              <w:pStyle w:val="22"/>
              <w:shd w:val="clear"/>
              <w:jc w:val="center"/>
              <w:rPr>
                <w:rFonts w:hint="eastAsia"/>
                <w:color w:val="auto"/>
                <w:sz w:val="21"/>
                <w:lang w:val="en-US" w:eastAsia="zh-CN"/>
              </w:rPr>
            </w:pPr>
            <w:r>
              <w:rPr>
                <w:rFonts w:hint="eastAsia"/>
                <w:color w:val="auto"/>
                <w:sz w:val="21"/>
                <w:lang w:val="en-US" w:eastAsia="zh-CN"/>
              </w:rPr>
              <w:t>/</w:t>
            </w:r>
          </w:p>
        </w:tc>
        <w:tc>
          <w:tcPr>
            <w:tcW w:w="2127" w:type="dxa"/>
            <w:tcMar>
              <w:top w:w="0" w:type="dxa"/>
              <w:left w:w="105" w:type="dxa"/>
              <w:bottom w:w="0" w:type="dxa"/>
              <w:right w:w="105" w:type="dxa"/>
            </w:tcMar>
            <w:vAlign w:val="center"/>
          </w:tcPr>
          <w:p>
            <w:pPr>
              <w:pStyle w:val="22"/>
              <w:shd w:val="clear"/>
              <w:jc w:val="center"/>
              <w:rPr>
                <w:rFonts w:hint="eastAsia"/>
                <w:color w:val="auto"/>
                <w:sz w:val="21"/>
                <w:lang w:val="en-US" w:eastAsia="zh-CN"/>
              </w:rPr>
            </w:pPr>
            <w:r>
              <w:rPr>
                <w:rFonts w:hint="eastAsia"/>
                <w:color w:val="auto"/>
                <w:sz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sz w:val="21"/>
                <w:lang w:val="en-US" w:eastAsia="zh-CN"/>
              </w:rPr>
            </w:pPr>
            <w:r>
              <w:rPr>
                <w:color w:val="auto"/>
                <w:sz w:val="21"/>
              </w:rPr>
              <w:t>6</w:t>
            </w:r>
          </w:p>
        </w:tc>
        <w:tc>
          <w:tcPr>
            <w:tcW w:w="2079" w:type="dxa"/>
            <w:tcMar>
              <w:top w:w="0" w:type="dxa"/>
              <w:left w:w="105" w:type="dxa"/>
              <w:bottom w:w="0" w:type="dxa"/>
              <w:right w:w="105" w:type="dxa"/>
            </w:tcMar>
            <w:vAlign w:val="center"/>
          </w:tcPr>
          <w:p>
            <w:pPr>
              <w:pStyle w:val="22"/>
              <w:shd w:val="clear"/>
              <w:jc w:val="center"/>
              <w:rPr>
                <w:color w:val="auto"/>
                <w:sz w:val="21"/>
                <w:lang w:val="en-US" w:eastAsia="zh-CN"/>
              </w:rPr>
            </w:pPr>
            <w:r>
              <w:rPr>
                <w:color w:val="auto"/>
                <w:sz w:val="21"/>
              </w:rPr>
              <w:t>四会砂糖橘子</w:t>
            </w:r>
          </w:p>
        </w:tc>
        <w:tc>
          <w:tcPr>
            <w:tcW w:w="1391" w:type="dxa"/>
            <w:tcMar>
              <w:top w:w="0" w:type="dxa"/>
              <w:left w:w="105" w:type="dxa"/>
              <w:bottom w:w="0" w:type="dxa"/>
              <w:right w:w="105" w:type="dxa"/>
            </w:tcMar>
            <w:vAlign w:val="center"/>
          </w:tcPr>
          <w:p>
            <w:pPr>
              <w:pStyle w:val="22"/>
              <w:shd w:val="clear"/>
              <w:jc w:val="center"/>
              <w:rPr>
                <w:color w:val="auto"/>
                <w:sz w:val="21"/>
              </w:rPr>
            </w:pPr>
            <w:r>
              <w:rPr>
                <w:color w:val="auto"/>
                <w:sz w:val="21"/>
              </w:rPr>
              <w:t>12</w:t>
            </w:r>
          </w:p>
        </w:tc>
        <w:tc>
          <w:tcPr>
            <w:tcW w:w="1953" w:type="dxa"/>
            <w:tcMar>
              <w:top w:w="0" w:type="dxa"/>
              <w:left w:w="105" w:type="dxa"/>
              <w:bottom w:w="0" w:type="dxa"/>
              <w:right w:w="105" w:type="dxa"/>
            </w:tcMar>
            <w:vAlign w:val="center"/>
          </w:tcPr>
          <w:p>
            <w:pPr>
              <w:pStyle w:val="22"/>
              <w:shd w:val="clear"/>
              <w:jc w:val="center"/>
              <w:rPr>
                <w:color w:val="auto"/>
                <w:sz w:val="21"/>
              </w:rPr>
            </w:pPr>
            <w:r>
              <w:rPr>
                <w:color w:val="auto"/>
                <w:sz w:val="21"/>
              </w:rPr>
              <w:t>国产红提</w:t>
            </w:r>
          </w:p>
        </w:tc>
        <w:tc>
          <w:tcPr>
            <w:tcW w:w="1224" w:type="dxa"/>
            <w:tcMar>
              <w:top w:w="0" w:type="dxa"/>
              <w:left w:w="105" w:type="dxa"/>
              <w:bottom w:w="0" w:type="dxa"/>
              <w:right w:w="105" w:type="dxa"/>
            </w:tcMar>
            <w:vAlign w:val="center"/>
          </w:tcPr>
          <w:p>
            <w:pPr>
              <w:pStyle w:val="22"/>
              <w:shd w:val="clear"/>
              <w:jc w:val="center"/>
              <w:rPr>
                <w:rFonts w:hint="eastAsia"/>
                <w:color w:val="auto"/>
                <w:sz w:val="21"/>
                <w:lang w:val="en-US" w:eastAsia="zh-CN"/>
              </w:rPr>
            </w:pPr>
            <w:r>
              <w:rPr>
                <w:rFonts w:hint="eastAsia"/>
                <w:color w:val="auto"/>
                <w:sz w:val="21"/>
                <w:lang w:val="en-US" w:eastAsia="zh-CN"/>
              </w:rPr>
              <w:t>/</w:t>
            </w:r>
          </w:p>
        </w:tc>
        <w:tc>
          <w:tcPr>
            <w:tcW w:w="2127" w:type="dxa"/>
            <w:tcMar>
              <w:top w:w="0" w:type="dxa"/>
              <w:left w:w="105" w:type="dxa"/>
              <w:bottom w:w="0" w:type="dxa"/>
              <w:right w:w="105" w:type="dxa"/>
            </w:tcMar>
            <w:vAlign w:val="center"/>
          </w:tcPr>
          <w:p>
            <w:pPr>
              <w:pStyle w:val="22"/>
              <w:shd w:val="clear"/>
              <w:jc w:val="center"/>
              <w:rPr>
                <w:rFonts w:hint="eastAsia"/>
                <w:color w:val="auto"/>
                <w:sz w:val="21"/>
                <w:lang w:val="en-US" w:eastAsia="zh-CN"/>
              </w:rPr>
            </w:pPr>
            <w:r>
              <w:rPr>
                <w:rFonts w:hint="eastAsia"/>
                <w:color w:val="auto"/>
                <w:sz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9" w:type="dxa"/>
            <w:gridSpan w:val="6"/>
            <w:tcMar>
              <w:top w:w="0" w:type="dxa"/>
              <w:left w:w="105" w:type="dxa"/>
              <w:bottom w:w="0" w:type="dxa"/>
              <w:right w:w="105" w:type="dxa"/>
            </w:tcMar>
            <w:vAlign w:val="center"/>
          </w:tcPr>
          <w:p>
            <w:pPr>
              <w:pStyle w:val="22"/>
              <w:shd w:val="clear"/>
              <w:jc w:val="both"/>
              <w:rPr>
                <w:color w:val="auto"/>
              </w:rPr>
            </w:pPr>
            <w:r>
              <w:rPr>
                <w:b/>
                <w:color w:val="auto"/>
                <w:sz w:val="21"/>
              </w:rPr>
              <w:t>（</w:t>
            </w:r>
            <w:r>
              <w:rPr>
                <w:rFonts w:hint="eastAsia"/>
                <w:b/>
                <w:color w:val="auto"/>
                <w:sz w:val="21"/>
                <w:lang w:eastAsia="zh-CN"/>
              </w:rPr>
              <w:t>六</w:t>
            </w:r>
            <w:r>
              <w:rPr>
                <w:b/>
                <w:color w:val="auto"/>
                <w:sz w:val="21"/>
              </w:rPr>
              <w:t>）其他类别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9" w:type="dxa"/>
            <w:gridSpan w:val="6"/>
            <w:tcMar>
              <w:top w:w="0" w:type="dxa"/>
              <w:left w:w="105" w:type="dxa"/>
              <w:bottom w:w="0" w:type="dxa"/>
              <w:right w:w="105" w:type="dxa"/>
            </w:tcMar>
            <w:vAlign w:val="center"/>
          </w:tcPr>
          <w:p>
            <w:pPr>
              <w:pStyle w:val="22"/>
              <w:shd w:val="clear"/>
              <w:jc w:val="both"/>
              <w:rPr>
                <w:color w:val="auto"/>
              </w:rPr>
            </w:pPr>
            <w:r>
              <w:rPr>
                <w:b/>
                <w:color w:val="auto"/>
                <w:sz w:val="21"/>
              </w:rPr>
              <w:t>1、熟食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2079"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c>
          <w:tcPr>
            <w:tcW w:w="1391"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1953"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c>
          <w:tcPr>
            <w:tcW w:w="1224" w:type="dxa"/>
            <w:tcMar>
              <w:top w:w="0" w:type="dxa"/>
              <w:left w:w="105" w:type="dxa"/>
              <w:bottom w:w="0" w:type="dxa"/>
              <w:right w:w="105" w:type="dxa"/>
            </w:tcMar>
            <w:vAlign w:val="center"/>
          </w:tcPr>
          <w:p>
            <w:pPr>
              <w:pStyle w:val="22"/>
              <w:shd w:val="clear"/>
              <w:jc w:val="center"/>
              <w:rPr>
                <w:color w:val="auto"/>
              </w:rPr>
            </w:pPr>
            <w:r>
              <w:rPr>
                <w:b/>
                <w:color w:val="auto"/>
                <w:sz w:val="21"/>
              </w:rPr>
              <w:t>序号</w:t>
            </w:r>
          </w:p>
        </w:tc>
        <w:tc>
          <w:tcPr>
            <w:tcW w:w="2127" w:type="dxa"/>
            <w:tcMar>
              <w:top w:w="0" w:type="dxa"/>
              <w:left w:w="105" w:type="dxa"/>
              <w:bottom w:w="0" w:type="dxa"/>
              <w:right w:w="105" w:type="dxa"/>
            </w:tcMar>
            <w:vAlign w:val="center"/>
          </w:tcPr>
          <w:p>
            <w:pPr>
              <w:pStyle w:val="22"/>
              <w:shd w:val="clear"/>
              <w:jc w:val="center"/>
              <w:rPr>
                <w:color w:val="auto"/>
              </w:rPr>
            </w:pPr>
            <w:r>
              <w:rPr>
                <w:b/>
                <w:color w:val="auto"/>
                <w:sz w:val="21"/>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1</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烧鹅</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7</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烧骨</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13</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卤水鸭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2</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烧鸭</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8</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烧鸡亦</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14</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凤爪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3</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烧肉</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9</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豉油鸡</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15</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鸭下巴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4</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梅叉</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10</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盐焗鸡</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16</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鸭／鹅脚亦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5</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上叉</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11</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猪手</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17</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卤水肾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color w:val="auto"/>
              </w:rPr>
            </w:pPr>
            <w:r>
              <w:rPr>
                <w:color w:val="auto"/>
                <w:sz w:val="21"/>
              </w:rPr>
              <w:t>6</w:t>
            </w:r>
          </w:p>
        </w:tc>
        <w:tc>
          <w:tcPr>
            <w:tcW w:w="2079" w:type="dxa"/>
            <w:tcMar>
              <w:top w:w="0" w:type="dxa"/>
              <w:left w:w="105" w:type="dxa"/>
              <w:bottom w:w="0" w:type="dxa"/>
              <w:right w:w="105" w:type="dxa"/>
            </w:tcMar>
            <w:vAlign w:val="center"/>
          </w:tcPr>
          <w:p>
            <w:pPr>
              <w:pStyle w:val="22"/>
              <w:shd w:val="clear"/>
              <w:jc w:val="center"/>
              <w:rPr>
                <w:color w:val="auto"/>
              </w:rPr>
            </w:pPr>
            <w:r>
              <w:rPr>
                <w:color w:val="auto"/>
                <w:sz w:val="21"/>
              </w:rPr>
              <w:t>烧排骨</w:t>
            </w:r>
          </w:p>
        </w:tc>
        <w:tc>
          <w:tcPr>
            <w:tcW w:w="1391" w:type="dxa"/>
            <w:tcMar>
              <w:top w:w="0" w:type="dxa"/>
              <w:left w:w="105" w:type="dxa"/>
              <w:bottom w:w="0" w:type="dxa"/>
              <w:right w:w="105" w:type="dxa"/>
            </w:tcMar>
            <w:vAlign w:val="center"/>
          </w:tcPr>
          <w:p>
            <w:pPr>
              <w:pStyle w:val="22"/>
              <w:shd w:val="clear"/>
              <w:jc w:val="center"/>
              <w:rPr>
                <w:color w:val="auto"/>
              </w:rPr>
            </w:pPr>
            <w:r>
              <w:rPr>
                <w:color w:val="auto"/>
                <w:sz w:val="21"/>
              </w:rPr>
              <w:t>12</w:t>
            </w:r>
          </w:p>
        </w:tc>
        <w:tc>
          <w:tcPr>
            <w:tcW w:w="1953" w:type="dxa"/>
            <w:tcMar>
              <w:top w:w="0" w:type="dxa"/>
              <w:left w:w="105" w:type="dxa"/>
              <w:bottom w:w="0" w:type="dxa"/>
              <w:right w:w="105" w:type="dxa"/>
            </w:tcMar>
            <w:vAlign w:val="center"/>
          </w:tcPr>
          <w:p>
            <w:pPr>
              <w:pStyle w:val="22"/>
              <w:shd w:val="clear"/>
              <w:jc w:val="center"/>
              <w:rPr>
                <w:color w:val="auto"/>
              </w:rPr>
            </w:pPr>
            <w:r>
              <w:rPr>
                <w:color w:val="auto"/>
                <w:sz w:val="21"/>
              </w:rPr>
              <w:t>鹅肠</w:t>
            </w:r>
          </w:p>
        </w:tc>
        <w:tc>
          <w:tcPr>
            <w:tcW w:w="1224" w:type="dxa"/>
            <w:tcMar>
              <w:top w:w="0" w:type="dxa"/>
              <w:left w:w="105" w:type="dxa"/>
              <w:bottom w:w="0" w:type="dxa"/>
              <w:right w:w="105" w:type="dxa"/>
            </w:tcMar>
            <w:vAlign w:val="center"/>
          </w:tcPr>
          <w:p>
            <w:pPr>
              <w:pStyle w:val="22"/>
              <w:shd w:val="clear"/>
              <w:jc w:val="center"/>
              <w:rPr>
                <w:color w:val="auto"/>
              </w:rPr>
            </w:pPr>
            <w:r>
              <w:rPr>
                <w:color w:val="auto"/>
                <w:sz w:val="21"/>
              </w:rPr>
              <w:t>18</w:t>
            </w:r>
          </w:p>
        </w:tc>
        <w:tc>
          <w:tcPr>
            <w:tcW w:w="2127" w:type="dxa"/>
            <w:tcMar>
              <w:top w:w="0" w:type="dxa"/>
              <w:left w:w="105" w:type="dxa"/>
              <w:bottom w:w="0" w:type="dxa"/>
              <w:right w:w="105" w:type="dxa"/>
            </w:tcMar>
            <w:vAlign w:val="center"/>
          </w:tcPr>
          <w:p>
            <w:pPr>
              <w:pStyle w:val="22"/>
              <w:shd w:val="clear"/>
              <w:jc w:val="center"/>
              <w:rPr>
                <w:color w:val="auto"/>
              </w:rPr>
            </w:pPr>
            <w:r>
              <w:rPr>
                <w:color w:val="auto"/>
                <w:sz w:val="21"/>
              </w:rPr>
              <w:t>猪肚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9" w:type="dxa"/>
            <w:gridSpan w:val="6"/>
            <w:tcMar>
              <w:top w:w="0" w:type="dxa"/>
              <w:left w:w="105" w:type="dxa"/>
              <w:bottom w:w="0" w:type="dxa"/>
              <w:right w:w="105" w:type="dxa"/>
            </w:tcMar>
            <w:vAlign w:val="center"/>
          </w:tcPr>
          <w:p>
            <w:pPr>
              <w:pStyle w:val="22"/>
              <w:shd w:val="clear"/>
              <w:jc w:val="both"/>
              <w:rPr>
                <w:color w:val="auto"/>
                <w:sz w:val="21"/>
              </w:rPr>
            </w:pPr>
            <w:r>
              <w:rPr>
                <w:b/>
                <w:color w:val="auto"/>
                <w:sz w:val="21"/>
              </w:rPr>
              <w:t>2、蛋类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序号</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名称</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序号</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名称</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序号</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1</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咸蛋</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2</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皮蛋</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3</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鸡蛋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9" w:type="dxa"/>
            <w:gridSpan w:val="6"/>
            <w:tcMar>
              <w:top w:w="0" w:type="dxa"/>
              <w:left w:w="105" w:type="dxa"/>
              <w:bottom w:w="0" w:type="dxa"/>
              <w:right w:w="105" w:type="dxa"/>
            </w:tcMar>
            <w:vAlign w:val="center"/>
          </w:tcPr>
          <w:p>
            <w:pPr>
              <w:pStyle w:val="22"/>
              <w:shd w:val="clear"/>
              <w:jc w:val="both"/>
              <w:rPr>
                <w:color w:val="auto"/>
                <w:sz w:val="21"/>
              </w:rPr>
            </w:pPr>
            <w:r>
              <w:rPr>
                <w:b/>
                <w:color w:val="auto"/>
                <w:sz w:val="21"/>
              </w:rPr>
              <w:t>3、腊味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序号</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名称</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序号</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名称</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序号</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1</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腊肠</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2</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腊肉</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3</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腊鸭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9" w:type="dxa"/>
            <w:gridSpan w:val="6"/>
            <w:tcMar>
              <w:top w:w="0" w:type="dxa"/>
              <w:left w:w="105" w:type="dxa"/>
              <w:bottom w:w="0" w:type="dxa"/>
              <w:right w:w="105" w:type="dxa"/>
            </w:tcMar>
            <w:vAlign w:val="center"/>
          </w:tcPr>
          <w:p>
            <w:pPr>
              <w:pStyle w:val="22"/>
              <w:shd w:val="clear"/>
              <w:jc w:val="both"/>
              <w:rPr>
                <w:color w:val="auto"/>
                <w:sz w:val="21"/>
              </w:rPr>
            </w:pPr>
            <w:r>
              <w:rPr>
                <w:b/>
                <w:color w:val="auto"/>
                <w:sz w:val="21"/>
              </w:rPr>
              <w:t>4、豆制品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序号</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名称</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序号</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名称</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序号</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1</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豆腐/板</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5</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香干</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8</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豆腐皮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2</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白豆干</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6</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大豆卜</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9</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客家豆腐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3</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黄豆干</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7</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小豆卜</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10</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炸面筋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4</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千叶豆腐</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9" w:type="dxa"/>
            <w:gridSpan w:val="6"/>
            <w:tcMar>
              <w:top w:w="0" w:type="dxa"/>
              <w:left w:w="105" w:type="dxa"/>
              <w:bottom w:w="0" w:type="dxa"/>
              <w:right w:w="105" w:type="dxa"/>
            </w:tcMar>
            <w:vAlign w:val="center"/>
          </w:tcPr>
          <w:p>
            <w:pPr>
              <w:pStyle w:val="22"/>
              <w:shd w:val="clear"/>
              <w:jc w:val="both"/>
              <w:rPr>
                <w:color w:val="auto"/>
                <w:sz w:val="21"/>
              </w:rPr>
            </w:pPr>
            <w:r>
              <w:rPr>
                <w:b/>
                <w:color w:val="auto"/>
                <w:sz w:val="21"/>
              </w:rPr>
              <w:t>5、包点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序号</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名称</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序号</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名称</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序号</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b/>
                <w:color w:val="auto"/>
                <w:sz w:val="21"/>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1</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糯米鸡</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12</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番薯饼</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23</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奶油面包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2</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咸肉粽</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13</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萝卜糕</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24</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椰丝面包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3</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南瓜饼</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14</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芋头糕</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25</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肉松蛋糕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4</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红豆网络包</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15</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马拉糕</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22</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蛋挞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5</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红豆面包</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16</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毛毛虫</w:t>
            </w:r>
          </w:p>
        </w:tc>
        <w:tc>
          <w:tcPr>
            <w:tcW w:w="1224" w:type="dxa"/>
            <w:tcMar>
              <w:top w:w="0" w:type="dxa"/>
              <w:left w:w="105" w:type="dxa"/>
              <w:bottom w:w="0" w:type="dxa"/>
              <w:right w:w="105" w:type="dxa"/>
            </w:tcMar>
            <w:vAlign w:val="center"/>
          </w:tcPr>
          <w:p>
            <w:pPr>
              <w:pStyle w:val="22"/>
              <w:shd w:val="clear"/>
              <w:jc w:val="center"/>
              <w:rPr>
                <w:rFonts w:hint="default" w:asciiTheme="minorHAnsi" w:hAnsiTheme="minorHAnsi" w:eastAsiaTheme="minorEastAsia" w:cstheme="minorBidi"/>
                <w:color w:val="auto"/>
                <w:lang w:val="en-US" w:eastAsia="zh-CN"/>
              </w:rPr>
            </w:pPr>
            <w:r>
              <w:rPr>
                <w:rFonts w:hint="eastAsia"/>
                <w:color w:val="auto"/>
                <w:lang w:val="en-US" w:eastAsia="zh-CN"/>
              </w:rPr>
              <w:t>23</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椰挞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6</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肉松面包</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17</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肉松卷</w:t>
            </w:r>
          </w:p>
        </w:tc>
        <w:tc>
          <w:tcPr>
            <w:tcW w:w="1224" w:type="dxa"/>
            <w:tcMar>
              <w:top w:w="0" w:type="dxa"/>
              <w:left w:w="105" w:type="dxa"/>
              <w:bottom w:w="0" w:type="dxa"/>
              <w:right w:w="105" w:type="dxa"/>
            </w:tcMar>
            <w:vAlign w:val="center"/>
          </w:tcPr>
          <w:p>
            <w:pPr>
              <w:pStyle w:val="22"/>
              <w:shd w:val="clear"/>
              <w:jc w:val="center"/>
              <w:rPr>
                <w:rFonts w:hint="default" w:asciiTheme="minorHAnsi" w:hAnsiTheme="minorHAnsi" w:eastAsiaTheme="minorEastAsia" w:cstheme="minorBidi"/>
                <w:color w:val="auto"/>
                <w:lang w:val="en-US" w:eastAsia="zh-CN"/>
              </w:rPr>
            </w:pPr>
            <w:r>
              <w:rPr>
                <w:rFonts w:hint="eastAsia"/>
                <w:color w:val="auto"/>
                <w:lang w:val="en-US" w:eastAsia="zh-CN"/>
              </w:rPr>
              <w:t>24</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油条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7</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肠仔面包</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18</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黄金面包</w:t>
            </w:r>
          </w:p>
        </w:tc>
        <w:tc>
          <w:tcPr>
            <w:tcW w:w="1224" w:type="dxa"/>
            <w:tcMar>
              <w:top w:w="0" w:type="dxa"/>
              <w:left w:w="105" w:type="dxa"/>
              <w:bottom w:w="0" w:type="dxa"/>
              <w:right w:w="105" w:type="dxa"/>
            </w:tcMar>
            <w:vAlign w:val="center"/>
          </w:tcPr>
          <w:p>
            <w:pPr>
              <w:pStyle w:val="22"/>
              <w:shd w:val="clear"/>
              <w:jc w:val="center"/>
              <w:rPr>
                <w:rFonts w:hint="default" w:asciiTheme="minorHAnsi" w:hAnsiTheme="minorHAnsi" w:eastAsiaTheme="minorEastAsia" w:cstheme="minorBidi"/>
                <w:color w:val="auto"/>
                <w:lang w:val="en-US" w:eastAsia="zh-CN"/>
              </w:rPr>
            </w:pPr>
            <w:r>
              <w:rPr>
                <w:rFonts w:hint="eastAsia"/>
                <w:color w:val="auto"/>
                <w:lang w:val="en-US" w:eastAsia="zh-CN"/>
              </w:rPr>
              <w:t>25</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牛利苏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8</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椰汁面包</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19</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双层三角蛋糕</w:t>
            </w:r>
          </w:p>
        </w:tc>
        <w:tc>
          <w:tcPr>
            <w:tcW w:w="1224" w:type="dxa"/>
            <w:tcMar>
              <w:top w:w="0" w:type="dxa"/>
              <w:left w:w="105" w:type="dxa"/>
              <w:bottom w:w="0" w:type="dxa"/>
              <w:right w:w="105" w:type="dxa"/>
            </w:tcMar>
            <w:vAlign w:val="center"/>
          </w:tcPr>
          <w:p>
            <w:pPr>
              <w:pStyle w:val="22"/>
              <w:shd w:val="clear"/>
              <w:jc w:val="center"/>
              <w:rPr>
                <w:rFonts w:hint="default" w:asciiTheme="minorHAnsi" w:hAnsiTheme="minorHAnsi" w:eastAsiaTheme="minorEastAsia" w:cstheme="minorBidi"/>
                <w:color w:val="auto"/>
                <w:lang w:val="en-US" w:eastAsia="zh-CN"/>
              </w:rPr>
            </w:pPr>
            <w:r>
              <w:rPr>
                <w:rFonts w:hint="eastAsia"/>
                <w:color w:val="auto"/>
                <w:lang w:val="en-US" w:eastAsia="zh-CN"/>
              </w:rPr>
              <w:t>26</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CN"/>
              </w:rPr>
            </w:pPr>
            <w:r>
              <w:rPr>
                <w:rFonts w:hint="eastAsia"/>
                <w:color w:val="auto"/>
                <w:lang w:eastAsia="zh-CN"/>
              </w:rPr>
              <w:t>河粉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9</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酥皮面包</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20</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Hans"/>
              </w:rPr>
            </w:pPr>
            <w:r>
              <w:rPr>
                <w:color w:val="auto"/>
                <w:sz w:val="21"/>
              </w:rPr>
              <w:t>西米红豆糕</w:t>
            </w:r>
          </w:p>
        </w:tc>
        <w:tc>
          <w:tcPr>
            <w:tcW w:w="1224" w:type="dxa"/>
            <w:tcMar>
              <w:top w:w="0" w:type="dxa"/>
              <w:left w:w="105" w:type="dxa"/>
              <w:bottom w:w="0" w:type="dxa"/>
              <w:right w:w="105" w:type="dxa"/>
            </w:tcMar>
            <w:vAlign w:val="center"/>
          </w:tcPr>
          <w:p>
            <w:pPr>
              <w:pStyle w:val="22"/>
              <w:shd w:val="clear"/>
              <w:jc w:val="center"/>
              <w:rPr>
                <w:rFonts w:hint="default" w:asciiTheme="minorHAnsi" w:hAnsiTheme="minorHAnsi" w:eastAsiaTheme="minorEastAsia" w:cstheme="minorBidi"/>
                <w:color w:val="auto"/>
                <w:lang w:val="en-US" w:eastAsia="zh-CN"/>
              </w:rPr>
            </w:pPr>
            <w:r>
              <w:rPr>
                <w:rFonts w:hint="eastAsia"/>
                <w:color w:val="auto"/>
                <w:lang w:val="en-US" w:eastAsia="zh-CN"/>
              </w:rPr>
              <w:t>27</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lang w:val="en-US" w:eastAsia="zh-CN"/>
              </w:rPr>
            </w:pPr>
            <w:r>
              <w:rPr>
                <w:rFonts w:hint="eastAsia"/>
                <w:color w:val="auto"/>
                <w:lang w:eastAsia="zh-CN"/>
              </w:rPr>
              <w:t>肠粉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default" w:asciiTheme="minorHAnsi" w:hAnsiTheme="minorHAnsi" w:eastAsiaTheme="minorEastAsia" w:cstheme="minorBidi"/>
                <w:color w:val="auto"/>
                <w:sz w:val="21"/>
                <w:lang w:val="en-US" w:eastAsia="zh-CN"/>
              </w:rPr>
            </w:pPr>
            <w:r>
              <w:rPr>
                <w:rFonts w:hint="eastAsia"/>
                <w:color w:val="auto"/>
                <w:sz w:val="21"/>
                <w:lang w:val="en-US" w:eastAsia="zh-CN"/>
              </w:rPr>
              <w:t>10</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sz w:val="21"/>
                <w:lang w:val="en-US" w:eastAsia="zh-CN"/>
              </w:rPr>
            </w:pPr>
            <w:r>
              <w:rPr>
                <w:rFonts w:hint="eastAsia"/>
                <w:color w:val="auto"/>
                <w:sz w:val="21"/>
                <w:lang w:eastAsia="zh-CN"/>
              </w:rPr>
              <w:t>叉烧包</w:t>
            </w:r>
          </w:p>
        </w:tc>
        <w:tc>
          <w:tcPr>
            <w:tcW w:w="1391"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sz w:val="21"/>
                <w:lang w:val="en-US" w:eastAsia="zh-Hans"/>
              </w:rPr>
            </w:pPr>
            <w:r>
              <w:rPr>
                <w:color w:val="auto"/>
                <w:sz w:val="21"/>
              </w:rPr>
              <w:t>21</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sz w:val="21"/>
                <w:lang w:val="en-US" w:eastAsia="zh-CN"/>
              </w:rPr>
            </w:pPr>
            <w:r>
              <w:rPr>
                <w:rFonts w:hint="eastAsia"/>
                <w:color w:val="auto"/>
                <w:sz w:val="21"/>
                <w:lang w:eastAsia="zh-CN"/>
              </w:rPr>
              <w:t>菜包</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sz w:val="21"/>
                <w:lang w:val="en-US" w:eastAsia="zh-CN"/>
              </w:rPr>
            </w:pPr>
            <w:r>
              <w:rPr>
                <w:rFonts w:hint="eastAsia"/>
                <w:color w:val="auto"/>
                <w:sz w:val="21"/>
                <w:lang w:val="en-US" w:eastAsia="zh-CN"/>
              </w:rPr>
              <w:t>/</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sz w:val="21"/>
                <w:lang w:val="en-US" w:eastAsia="zh-CN"/>
              </w:rPr>
            </w:pPr>
            <w:r>
              <w:rPr>
                <w:rFonts w:hint="eastAsia"/>
                <w:color w:val="auto"/>
                <w:sz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pStyle w:val="22"/>
              <w:shd w:val="clear"/>
              <w:jc w:val="center"/>
              <w:rPr>
                <w:rFonts w:hint="default" w:asciiTheme="minorHAnsi" w:hAnsiTheme="minorHAnsi" w:eastAsiaTheme="minorEastAsia" w:cstheme="minorBidi"/>
                <w:color w:val="auto"/>
                <w:sz w:val="21"/>
                <w:lang w:val="en-US" w:eastAsia="zh-CN"/>
              </w:rPr>
            </w:pPr>
            <w:r>
              <w:rPr>
                <w:rFonts w:hint="eastAsia"/>
                <w:color w:val="auto"/>
                <w:sz w:val="21"/>
                <w:lang w:val="en-US" w:eastAsia="zh-CN"/>
              </w:rPr>
              <w:t>11</w:t>
            </w:r>
          </w:p>
        </w:tc>
        <w:tc>
          <w:tcPr>
            <w:tcW w:w="2079"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sz w:val="21"/>
                <w:lang w:val="en-US" w:eastAsia="zh-CN"/>
              </w:rPr>
            </w:pPr>
            <w:r>
              <w:rPr>
                <w:rFonts w:hint="eastAsia"/>
                <w:color w:val="auto"/>
                <w:sz w:val="21"/>
                <w:lang w:eastAsia="zh-CN"/>
              </w:rPr>
              <w:t>生肉包</w:t>
            </w:r>
          </w:p>
        </w:tc>
        <w:tc>
          <w:tcPr>
            <w:tcW w:w="1391" w:type="dxa"/>
            <w:tcMar>
              <w:top w:w="0" w:type="dxa"/>
              <w:left w:w="105" w:type="dxa"/>
              <w:bottom w:w="0" w:type="dxa"/>
              <w:right w:w="105" w:type="dxa"/>
            </w:tcMar>
            <w:vAlign w:val="center"/>
          </w:tcPr>
          <w:p>
            <w:pPr>
              <w:pStyle w:val="22"/>
              <w:shd w:val="clear"/>
              <w:jc w:val="center"/>
              <w:rPr>
                <w:rFonts w:hint="default" w:asciiTheme="minorHAnsi" w:hAnsiTheme="minorHAnsi" w:eastAsiaTheme="minorEastAsia" w:cstheme="minorBidi"/>
                <w:color w:val="auto"/>
                <w:sz w:val="21"/>
                <w:lang w:val="en-US" w:eastAsia="zh-CN"/>
              </w:rPr>
            </w:pPr>
            <w:r>
              <w:rPr>
                <w:rFonts w:hint="eastAsia"/>
                <w:color w:val="auto"/>
                <w:sz w:val="21"/>
                <w:lang w:val="en-US" w:eastAsia="zh-CN"/>
              </w:rPr>
              <w:t>22</w:t>
            </w:r>
          </w:p>
        </w:tc>
        <w:tc>
          <w:tcPr>
            <w:tcW w:w="1953"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sz w:val="21"/>
                <w:lang w:val="en-US" w:eastAsia="zh-CN"/>
              </w:rPr>
            </w:pPr>
            <w:r>
              <w:rPr>
                <w:rFonts w:hint="eastAsia"/>
                <w:color w:val="auto"/>
                <w:sz w:val="21"/>
                <w:lang w:eastAsia="zh-CN"/>
              </w:rPr>
              <w:t>酸菜包</w:t>
            </w:r>
          </w:p>
        </w:tc>
        <w:tc>
          <w:tcPr>
            <w:tcW w:w="1224"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sz w:val="21"/>
                <w:lang w:val="en-US" w:eastAsia="zh-CN"/>
              </w:rPr>
            </w:pPr>
            <w:r>
              <w:rPr>
                <w:rFonts w:hint="eastAsia"/>
                <w:color w:val="auto"/>
                <w:sz w:val="21"/>
                <w:lang w:val="en-US" w:eastAsia="zh-CN"/>
              </w:rPr>
              <w:t>/</w:t>
            </w:r>
          </w:p>
        </w:tc>
        <w:tc>
          <w:tcPr>
            <w:tcW w:w="2127" w:type="dxa"/>
            <w:tcMar>
              <w:top w:w="0" w:type="dxa"/>
              <w:left w:w="105" w:type="dxa"/>
              <w:bottom w:w="0" w:type="dxa"/>
              <w:right w:w="105" w:type="dxa"/>
            </w:tcMar>
            <w:vAlign w:val="center"/>
          </w:tcPr>
          <w:p>
            <w:pPr>
              <w:pStyle w:val="22"/>
              <w:shd w:val="clear"/>
              <w:jc w:val="center"/>
              <w:rPr>
                <w:rFonts w:hint="eastAsia" w:asciiTheme="minorHAnsi" w:hAnsiTheme="minorHAnsi" w:eastAsiaTheme="minorEastAsia" w:cstheme="minorBidi"/>
                <w:color w:val="auto"/>
                <w:sz w:val="21"/>
                <w:lang w:val="en-US" w:eastAsia="zh-CN"/>
              </w:rPr>
            </w:pPr>
            <w:r>
              <w:rPr>
                <w:rFonts w:hint="eastAsia"/>
                <w:color w:val="auto"/>
                <w:sz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19" w:type="dxa"/>
            <w:gridSpan w:val="6"/>
            <w:tcMar>
              <w:top w:w="0" w:type="dxa"/>
              <w:left w:w="105" w:type="dxa"/>
              <w:bottom w:w="0" w:type="dxa"/>
              <w:right w:w="105" w:type="dxa"/>
            </w:tcMar>
            <w:vAlign w:val="center"/>
          </w:tcPr>
          <w:p>
            <w:pPr>
              <w:pStyle w:val="22"/>
              <w:shd w:val="clear"/>
              <w:jc w:val="both"/>
              <w:rPr>
                <w:rFonts w:hint="eastAsia"/>
                <w:color w:val="auto"/>
                <w:sz w:val="21"/>
                <w:lang w:val="en-US" w:eastAsia="zh-CN"/>
              </w:rPr>
            </w:pPr>
            <w:r>
              <w:rPr>
                <w:rFonts w:hint="eastAsia"/>
                <w:b/>
                <w:color w:val="auto"/>
                <w:sz w:val="21"/>
                <w:lang w:val="en-US" w:eastAsia="zh-CN"/>
              </w:rPr>
              <w:t>6、奶制品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shd w:val="clear"/>
              <w:jc w:val="center"/>
              <w:rPr>
                <w:rFonts w:hint="eastAsia" w:asciiTheme="minorHAnsi" w:hAnsiTheme="minorHAnsi" w:eastAsiaTheme="minorEastAsia" w:cstheme="minorBidi"/>
                <w:color w:val="auto"/>
                <w:kern w:val="2"/>
                <w:sz w:val="21"/>
                <w:szCs w:val="24"/>
                <w:lang w:val="en-US" w:eastAsia="zh-CN" w:bidi="ar-SA"/>
              </w:rPr>
            </w:pPr>
            <w:r>
              <w:rPr>
                <w:b/>
                <w:color w:val="auto"/>
                <w:sz w:val="21"/>
              </w:rPr>
              <w:t>序号</w:t>
            </w:r>
          </w:p>
        </w:tc>
        <w:tc>
          <w:tcPr>
            <w:tcW w:w="2079" w:type="dxa"/>
            <w:tcMar>
              <w:top w:w="0" w:type="dxa"/>
              <w:left w:w="105" w:type="dxa"/>
              <w:bottom w:w="0" w:type="dxa"/>
              <w:right w:w="105" w:type="dxa"/>
            </w:tcMar>
            <w:vAlign w:val="center"/>
          </w:tcPr>
          <w:p>
            <w:pPr>
              <w:shd w:val="clear"/>
              <w:jc w:val="center"/>
              <w:rPr>
                <w:rFonts w:hint="eastAsia" w:asciiTheme="minorHAnsi" w:hAnsiTheme="minorHAnsi" w:eastAsiaTheme="minorEastAsia" w:cstheme="minorBidi"/>
                <w:color w:val="auto"/>
                <w:kern w:val="2"/>
                <w:sz w:val="21"/>
                <w:szCs w:val="24"/>
                <w:lang w:val="en-US" w:eastAsia="zh-CN" w:bidi="ar-SA"/>
              </w:rPr>
            </w:pPr>
            <w:r>
              <w:rPr>
                <w:b/>
                <w:color w:val="auto"/>
                <w:sz w:val="21"/>
              </w:rPr>
              <w:t>产品名称</w:t>
            </w:r>
          </w:p>
        </w:tc>
        <w:tc>
          <w:tcPr>
            <w:tcW w:w="1391" w:type="dxa"/>
            <w:tcMar>
              <w:top w:w="0" w:type="dxa"/>
              <w:left w:w="105" w:type="dxa"/>
              <w:bottom w:w="0" w:type="dxa"/>
              <w:right w:w="105" w:type="dxa"/>
            </w:tcMar>
            <w:vAlign w:val="center"/>
          </w:tcPr>
          <w:p>
            <w:pPr>
              <w:shd w:val="clear"/>
              <w:jc w:val="center"/>
              <w:rPr>
                <w:rFonts w:hint="eastAsia" w:asciiTheme="minorHAnsi" w:hAnsiTheme="minorHAnsi" w:eastAsiaTheme="minorEastAsia" w:cstheme="minorBidi"/>
                <w:color w:val="auto"/>
                <w:kern w:val="2"/>
                <w:sz w:val="21"/>
                <w:szCs w:val="24"/>
                <w:lang w:val="en-US" w:eastAsia="zh-CN" w:bidi="ar-SA"/>
              </w:rPr>
            </w:pPr>
            <w:r>
              <w:rPr>
                <w:b/>
                <w:color w:val="auto"/>
                <w:sz w:val="21"/>
              </w:rPr>
              <w:t>净含量</w:t>
            </w:r>
          </w:p>
        </w:tc>
        <w:tc>
          <w:tcPr>
            <w:tcW w:w="3177" w:type="dxa"/>
            <w:gridSpan w:val="2"/>
            <w:tcMar>
              <w:top w:w="0" w:type="dxa"/>
              <w:left w:w="105" w:type="dxa"/>
              <w:bottom w:w="0" w:type="dxa"/>
              <w:right w:w="105" w:type="dxa"/>
            </w:tcMar>
            <w:vAlign w:val="center"/>
          </w:tcPr>
          <w:p>
            <w:pPr>
              <w:shd w:val="clear"/>
              <w:jc w:val="center"/>
              <w:rPr>
                <w:rFonts w:hint="eastAsia" w:asciiTheme="minorHAnsi" w:hAnsiTheme="minorHAnsi" w:eastAsiaTheme="minorEastAsia" w:cstheme="minorBidi"/>
                <w:color w:val="auto"/>
                <w:kern w:val="2"/>
                <w:sz w:val="21"/>
                <w:szCs w:val="24"/>
                <w:lang w:val="en-US" w:eastAsia="zh-CN" w:bidi="ar-SA"/>
              </w:rPr>
            </w:pPr>
            <w:r>
              <w:rPr>
                <w:b/>
                <w:color w:val="auto"/>
                <w:sz w:val="21"/>
              </w:rPr>
              <w:t>规格/质量要求</w:t>
            </w:r>
          </w:p>
        </w:tc>
        <w:tc>
          <w:tcPr>
            <w:tcW w:w="2127" w:type="dxa"/>
            <w:tcMar>
              <w:top w:w="0" w:type="dxa"/>
              <w:left w:w="105" w:type="dxa"/>
              <w:bottom w:w="0" w:type="dxa"/>
              <w:right w:w="105" w:type="dxa"/>
            </w:tcMar>
            <w:vAlign w:val="center"/>
          </w:tcPr>
          <w:p>
            <w:pPr>
              <w:shd w:val="clear"/>
              <w:jc w:val="center"/>
              <w:rPr>
                <w:rFonts w:hint="eastAsia" w:asciiTheme="minorHAnsi" w:hAnsiTheme="minorHAnsi" w:eastAsiaTheme="minorEastAsia" w:cstheme="minorBidi"/>
                <w:color w:val="auto"/>
                <w:kern w:val="2"/>
                <w:sz w:val="21"/>
                <w:szCs w:val="24"/>
                <w:lang w:val="en-US" w:eastAsia="zh-CN" w:bidi="ar-SA"/>
              </w:rPr>
            </w:pPr>
            <w:r>
              <w:rPr>
                <w:b/>
                <w:color w:val="auto"/>
                <w:sz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shd w:val="clear"/>
              <w:jc w:val="center"/>
              <w:rPr>
                <w:rFonts w:hint="eastAsia" w:asciiTheme="minorHAnsi" w:hAnsiTheme="minorHAnsi" w:eastAsiaTheme="minorEastAsia" w:cstheme="minorBidi"/>
                <w:color w:val="auto"/>
                <w:kern w:val="2"/>
                <w:sz w:val="21"/>
                <w:szCs w:val="24"/>
                <w:lang w:val="en-US" w:eastAsia="zh-CN" w:bidi="ar-SA"/>
              </w:rPr>
            </w:pPr>
            <w:r>
              <w:rPr>
                <w:color w:val="auto"/>
                <w:sz w:val="21"/>
              </w:rPr>
              <w:t>1</w:t>
            </w:r>
          </w:p>
        </w:tc>
        <w:tc>
          <w:tcPr>
            <w:tcW w:w="2079" w:type="dxa"/>
            <w:tcMar>
              <w:top w:w="0" w:type="dxa"/>
              <w:left w:w="105" w:type="dxa"/>
              <w:bottom w:w="0" w:type="dxa"/>
              <w:right w:w="105" w:type="dxa"/>
            </w:tcMar>
            <w:vAlign w:val="center"/>
          </w:tcPr>
          <w:p>
            <w:pPr>
              <w:shd w:val="clear"/>
              <w:jc w:val="center"/>
              <w:rPr>
                <w:rFonts w:hint="eastAsia" w:asciiTheme="minorHAnsi" w:hAnsiTheme="minorHAnsi" w:eastAsiaTheme="minorEastAsia" w:cstheme="minorBidi"/>
                <w:color w:val="auto"/>
                <w:kern w:val="2"/>
                <w:sz w:val="21"/>
                <w:szCs w:val="24"/>
                <w:lang w:val="en-US" w:eastAsia="zh-CN" w:bidi="ar-SA"/>
              </w:rPr>
            </w:pPr>
            <w:r>
              <w:rPr>
                <w:color w:val="auto"/>
                <w:sz w:val="21"/>
              </w:rPr>
              <w:t>酸牛奶</w:t>
            </w:r>
          </w:p>
        </w:tc>
        <w:tc>
          <w:tcPr>
            <w:tcW w:w="1391" w:type="dxa"/>
            <w:tcMar>
              <w:top w:w="0" w:type="dxa"/>
              <w:left w:w="105" w:type="dxa"/>
              <w:bottom w:w="0" w:type="dxa"/>
              <w:right w:w="105" w:type="dxa"/>
            </w:tcMar>
            <w:vAlign w:val="center"/>
          </w:tcPr>
          <w:p>
            <w:pPr>
              <w:shd w:val="clear"/>
              <w:jc w:val="center"/>
              <w:rPr>
                <w:rFonts w:hint="eastAsia" w:asciiTheme="minorHAnsi" w:hAnsiTheme="minorHAnsi" w:eastAsiaTheme="minorEastAsia" w:cstheme="minorBidi"/>
                <w:color w:val="auto"/>
                <w:kern w:val="2"/>
                <w:sz w:val="21"/>
                <w:szCs w:val="24"/>
                <w:lang w:val="en-US" w:eastAsia="zh-CN" w:bidi="ar-SA"/>
              </w:rPr>
            </w:pPr>
            <w:r>
              <w:rPr>
                <w:color w:val="auto"/>
                <w:sz w:val="21"/>
              </w:rPr>
              <w:t>≥200（克或毫升）</w:t>
            </w:r>
          </w:p>
        </w:tc>
        <w:tc>
          <w:tcPr>
            <w:tcW w:w="3177" w:type="dxa"/>
            <w:gridSpan w:val="2"/>
            <w:tcMar>
              <w:top w:w="0" w:type="dxa"/>
              <w:left w:w="105" w:type="dxa"/>
              <w:bottom w:w="0" w:type="dxa"/>
              <w:right w:w="105" w:type="dxa"/>
            </w:tcMar>
            <w:vAlign w:val="center"/>
          </w:tcPr>
          <w:p>
            <w:pPr>
              <w:shd w:val="clear"/>
              <w:jc w:val="center"/>
              <w:rPr>
                <w:rFonts w:hint="eastAsia" w:asciiTheme="minorHAnsi" w:hAnsiTheme="minorHAnsi" w:eastAsiaTheme="minorEastAsia" w:cstheme="minorBidi"/>
                <w:color w:val="auto"/>
                <w:kern w:val="2"/>
                <w:sz w:val="21"/>
                <w:szCs w:val="24"/>
                <w:lang w:val="en-US" w:eastAsia="zh-CN" w:bidi="ar-SA"/>
              </w:rPr>
            </w:pPr>
            <w:r>
              <w:rPr>
                <w:color w:val="auto"/>
                <w:sz w:val="21"/>
              </w:rPr>
              <w:t>生牛乳，白砂糖，保加利亚乳杆菌等</w:t>
            </w:r>
          </w:p>
        </w:tc>
        <w:tc>
          <w:tcPr>
            <w:tcW w:w="2127" w:type="dxa"/>
            <w:tcMar>
              <w:top w:w="0" w:type="dxa"/>
              <w:left w:w="105" w:type="dxa"/>
              <w:bottom w:w="0" w:type="dxa"/>
              <w:right w:w="105" w:type="dxa"/>
            </w:tcMar>
            <w:vAlign w:val="center"/>
          </w:tcPr>
          <w:p>
            <w:pPr>
              <w:shd w:val="clear"/>
              <w:jc w:val="center"/>
              <w:rPr>
                <w:rFonts w:hint="eastAsia" w:asciiTheme="minorHAnsi" w:hAnsiTheme="minorHAnsi" w:eastAsiaTheme="minorEastAsia" w:cstheme="minorBidi"/>
                <w:color w:val="auto"/>
                <w:kern w:val="2"/>
                <w:sz w:val="21"/>
                <w:szCs w:val="24"/>
                <w:lang w:val="en-US" w:eastAsia="zh-CN" w:bidi="ar-SA"/>
              </w:rPr>
            </w:pPr>
            <w:r>
              <w:rPr>
                <w:color w:val="auto"/>
                <w:sz w:val="21"/>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 w:type="dxa"/>
            <w:tcMar>
              <w:top w:w="0" w:type="dxa"/>
              <w:left w:w="105" w:type="dxa"/>
              <w:bottom w:w="0" w:type="dxa"/>
              <w:right w:w="105" w:type="dxa"/>
            </w:tcMar>
            <w:vAlign w:val="center"/>
          </w:tcPr>
          <w:p>
            <w:pPr>
              <w:shd w:val="clear"/>
              <w:jc w:val="center"/>
              <w:rPr>
                <w:rFonts w:hint="eastAsia" w:asciiTheme="minorHAnsi" w:hAnsiTheme="minorHAnsi" w:eastAsiaTheme="minorEastAsia" w:cstheme="minorBidi"/>
                <w:color w:val="auto"/>
                <w:kern w:val="2"/>
                <w:sz w:val="21"/>
                <w:szCs w:val="24"/>
                <w:lang w:val="en-US" w:eastAsia="zh-CN" w:bidi="ar-SA"/>
              </w:rPr>
            </w:pPr>
            <w:r>
              <w:rPr>
                <w:color w:val="auto"/>
                <w:sz w:val="21"/>
              </w:rPr>
              <w:t>2</w:t>
            </w:r>
          </w:p>
        </w:tc>
        <w:tc>
          <w:tcPr>
            <w:tcW w:w="2079" w:type="dxa"/>
            <w:tcMar>
              <w:top w:w="0" w:type="dxa"/>
              <w:left w:w="105" w:type="dxa"/>
              <w:bottom w:w="0" w:type="dxa"/>
              <w:right w:w="105" w:type="dxa"/>
            </w:tcMar>
            <w:vAlign w:val="center"/>
          </w:tcPr>
          <w:p>
            <w:pPr>
              <w:shd w:val="clear"/>
              <w:jc w:val="center"/>
              <w:rPr>
                <w:rFonts w:hint="eastAsia" w:asciiTheme="minorHAnsi" w:hAnsiTheme="minorHAnsi" w:eastAsiaTheme="minorEastAsia" w:cstheme="minorBidi"/>
                <w:color w:val="auto"/>
                <w:kern w:val="2"/>
                <w:sz w:val="21"/>
                <w:szCs w:val="24"/>
                <w:lang w:val="en-US" w:eastAsia="zh-CN" w:bidi="ar-SA"/>
              </w:rPr>
            </w:pPr>
            <w:r>
              <w:rPr>
                <w:color w:val="auto"/>
                <w:sz w:val="21"/>
              </w:rPr>
              <w:t>纯牛奶</w:t>
            </w:r>
          </w:p>
        </w:tc>
        <w:tc>
          <w:tcPr>
            <w:tcW w:w="1391" w:type="dxa"/>
            <w:tcMar>
              <w:top w:w="0" w:type="dxa"/>
              <w:left w:w="105" w:type="dxa"/>
              <w:bottom w:w="0" w:type="dxa"/>
              <w:right w:w="105" w:type="dxa"/>
            </w:tcMar>
            <w:vAlign w:val="center"/>
          </w:tcPr>
          <w:p>
            <w:pPr>
              <w:shd w:val="clear"/>
              <w:jc w:val="center"/>
              <w:rPr>
                <w:rFonts w:hint="eastAsia" w:asciiTheme="minorHAnsi" w:hAnsiTheme="minorHAnsi" w:eastAsiaTheme="minorEastAsia" w:cstheme="minorBidi"/>
                <w:color w:val="auto"/>
                <w:kern w:val="2"/>
                <w:sz w:val="21"/>
                <w:szCs w:val="24"/>
                <w:lang w:val="en-US" w:eastAsia="zh-CN" w:bidi="ar-SA"/>
              </w:rPr>
            </w:pPr>
            <w:r>
              <w:rPr>
                <w:color w:val="auto"/>
                <w:sz w:val="21"/>
              </w:rPr>
              <w:t>≥200（毫升或克）</w:t>
            </w:r>
          </w:p>
        </w:tc>
        <w:tc>
          <w:tcPr>
            <w:tcW w:w="3177" w:type="dxa"/>
            <w:gridSpan w:val="2"/>
            <w:tcMar>
              <w:top w:w="0" w:type="dxa"/>
              <w:left w:w="105" w:type="dxa"/>
              <w:bottom w:w="0" w:type="dxa"/>
              <w:right w:w="105" w:type="dxa"/>
            </w:tcMar>
            <w:vAlign w:val="center"/>
          </w:tcPr>
          <w:p>
            <w:pPr>
              <w:shd w:val="clear"/>
              <w:jc w:val="center"/>
              <w:rPr>
                <w:rFonts w:hint="eastAsia" w:asciiTheme="minorHAnsi" w:hAnsiTheme="minorHAnsi" w:eastAsiaTheme="minorEastAsia" w:cstheme="minorBidi"/>
                <w:color w:val="auto"/>
                <w:kern w:val="2"/>
                <w:sz w:val="21"/>
                <w:szCs w:val="24"/>
                <w:lang w:val="en-US" w:eastAsia="zh-CN" w:bidi="ar-SA"/>
              </w:rPr>
            </w:pPr>
            <w:r>
              <w:rPr>
                <w:color w:val="auto"/>
                <w:sz w:val="21"/>
              </w:rPr>
              <w:t>生牛乳</w:t>
            </w:r>
          </w:p>
        </w:tc>
        <w:tc>
          <w:tcPr>
            <w:tcW w:w="2127" w:type="dxa"/>
            <w:tcMar>
              <w:top w:w="0" w:type="dxa"/>
              <w:left w:w="105" w:type="dxa"/>
              <w:bottom w:w="0" w:type="dxa"/>
              <w:right w:w="105" w:type="dxa"/>
            </w:tcMar>
            <w:vAlign w:val="center"/>
          </w:tcPr>
          <w:p>
            <w:pPr>
              <w:shd w:val="clear"/>
              <w:jc w:val="center"/>
              <w:rPr>
                <w:rFonts w:hint="eastAsia" w:asciiTheme="minorHAnsi" w:hAnsiTheme="minorHAnsi" w:eastAsiaTheme="minorEastAsia" w:cstheme="minorBidi"/>
                <w:color w:val="auto"/>
                <w:kern w:val="2"/>
                <w:sz w:val="21"/>
                <w:szCs w:val="24"/>
                <w:lang w:val="en-US" w:eastAsia="zh-CN" w:bidi="ar-SA"/>
              </w:rPr>
            </w:pPr>
            <w:r>
              <w:rPr>
                <w:color w:val="auto"/>
                <w:sz w:val="21"/>
              </w:rPr>
              <w:t>盒</w:t>
            </w:r>
          </w:p>
        </w:tc>
      </w:tr>
    </w:tbl>
    <w:p>
      <w:pPr>
        <w:pStyle w:val="22"/>
        <w:shd w:val="clear"/>
        <w:jc w:val="both"/>
        <w:rPr>
          <w:color w:val="auto"/>
        </w:rPr>
      </w:pPr>
      <w:r>
        <w:rPr>
          <w:b/>
          <w:color w:val="auto"/>
          <w:sz w:val="21"/>
        </w:rPr>
        <w:t>十一、粮油副食品和其他消耗品清单</w:t>
      </w: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03"/>
        <w:gridCol w:w="2730"/>
        <w:gridCol w:w="2716"/>
        <w:gridCol w:w="3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9597" w:type="dxa"/>
            <w:gridSpan w:val="4"/>
            <w:shd w:val="clear" w:color="auto" w:fill="auto"/>
            <w:tcMar>
              <w:top w:w="0" w:type="dxa"/>
              <w:left w:w="105" w:type="dxa"/>
              <w:bottom w:w="0" w:type="dxa"/>
              <w:right w:w="105" w:type="dxa"/>
            </w:tcMar>
            <w:vAlign w:val="center"/>
          </w:tcPr>
          <w:p>
            <w:pPr>
              <w:pStyle w:val="22"/>
              <w:shd w:val="clear"/>
              <w:jc w:val="center"/>
              <w:rPr>
                <w:color w:val="auto"/>
              </w:rPr>
            </w:pPr>
            <w:r>
              <w:rPr>
                <w:b/>
                <w:color w:val="auto"/>
                <w:sz w:val="21"/>
              </w:rPr>
              <w:t>（一）粮油盐类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序号</w:t>
            </w:r>
          </w:p>
        </w:tc>
        <w:tc>
          <w:tcPr>
            <w:tcW w:w="2730"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品名</w:t>
            </w:r>
          </w:p>
        </w:tc>
        <w:tc>
          <w:tcPr>
            <w:tcW w:w="2716"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规格</w:t>
            </w:r>
          </w:p>
        </w:tc>
        <w:tc>
          <w:tcPr>
            <w:tcW w:w="3348"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食用盐</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20kg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2</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大米</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25kg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3</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丝苗米</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15kg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4</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调和油</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5L</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5</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花生油</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5L</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9597" w:type="dxa"/>
            <w:gridSpan w:val="4"/>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（二）粉面类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序号</w:t>
            </w:r>
          </w:p>
        </w:tc>
        <w:tc>
          <w:tcPr>
            <w:tcW w:w="2730"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品名</w:t>
            </w:r>
          </w:p>
        </w:tc>
        <w:tc>
          <w:tcPr>
            <w:tcW w:w="2716"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规格</w:t>
            </w:r>
          </w:p>
        </w:tc>
        <w:tc>
          <w:tcPr>
            <w:tcW w:w="3348"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排粉</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7kg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2</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面粉</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25kg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3</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生粉</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25kg/件</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4</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红豆馅</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2.5kg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5</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粗麦片</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6</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面包糠</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1.5kg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7</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龟苓膏粉</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250g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CN"/>
              </w:rPr>
            </w:pPr>
            <w:r>
              <w:rPr>
                <w:rFonts w:hint="eastAsia"/>
                <w:color w:val="auto"/>
                <w:sz w:val="21"/>
                <w:lang w:val="en-US" w:eastAsia="zh-CN"/>
              </w:rPr>
              <w:t>8</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大碗面</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rFonts w:hint="eastAsia"/>
                <w:color w:val="auto"/>
                <w:sz w:val="21"/>
                <w:lang w:val="en-US" w:eastAsia="zh-CN"/>
              </w:rPr>
              <w:t>2.5kg</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rFonts w:hint="eastAsia"/>
                <w:color w:val="auto"/>
                <w:sz w:val="21"/>
                <w:lang w:val="en-US" w:eastAsia="zh-Hans"/>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CN"/>
              </w:rPr>
            </w:pPr>
            <w:r>
              <w:rPr>
                <w:rFonts w:hint="eastAsia"/>
                <w:color w:val="auto"/>
                <w:sz w:val="21"/>
                <w:lang w:val="en-US" w:eastAsia="zh-CN"/>
              </w:rPr>
              <w:t>9</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圆仔糍</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rFonts w:hint="eastAsia"/>
                <w:color w:val="auto"/>
                <w:sz w:val="21"/>
                <w:lang w:val="en-US" w:eastAsia="zh-Hans"/>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rFonts w:hint="eastAsia"/>
                <w:color w:val="auto"/>
                <w:sz w:val="21"/>
                <w:lang w:val="en-US" w:eastAsia="zh-Hans"/>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10</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刀切糍</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9597" w:type="dxa"/>
            <w:gridSpan w:val="4"/>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（三）调味品类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序号</w:t>
            </w:r>
          </w:p>
        </w:tc>
        <w:tc>
          <w:tcPr>
            <w:tcW w:w="2730"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品名</w:t>
            </w:r>
          </w:p>
        </w:tc>
        <w:tc>
          <w:tcPr>
            <w:tcW w:w="2716"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规格</w:t>
            </w:r>
          </w:p>
        </w:tc>
        <w:tc>
          <w:tcPr>
            <w:tcW w:w="3348"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芝麻酱</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500g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2</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花生酱</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500g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3</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普宁豆酱</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900g*6瓶/件</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4</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米酒</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500g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6</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幼砂糖</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25kg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7</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陈醋</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600g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8</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白醋</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500g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9</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茄汁</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660g/瓶</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10</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金标生抽</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1L*6瓶</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11</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老抽</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10.5kg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12</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蚝油</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11.5kg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13</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生抽</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10.5kg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14</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番茄酱</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11kg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15</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蒜容辣椒酱</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11kg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16</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鸡粉</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1kg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17</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剁椒酱</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1.2kg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18</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大火锅料</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250g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19</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豆豉</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2kg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20</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炼奶</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500g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21</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辣椒油</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500g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9597" w:type="dxa"/>
            <w:gridSpan w:val="4"/>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（四）干货类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序号</w:t>
            </w:r>
          </w:p>
        </w:tc>
        <w:tc>
          <w:tcPr>
            <w:tcW w:w="2730"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品名</w:t>
            </w:r>
          </w:p>
        </w:tc>
        <w:tc>
          <w:tcPr>
            <w:tcW w:w="2716"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规格</w:t>
            </w:r>
          </w:p>
        </w:tc>
        <w:tc>
          <w:tcPr>
            <w:tcW w:w="3348"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梅菜</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5kg/件</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2</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雪菜</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4.5kg/件</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3</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萝卜丁</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4.5kg/件</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4</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爽脆萝卜片</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4.5kg/件</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5</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菜干</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6</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雪耳</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7</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干木耳</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8</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霸王花</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9</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茶树菇</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10</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紫菜</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50g</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11</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芝麻</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12</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辣椒粉</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13</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虾米</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16</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红谷米粉</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17</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辣椒干</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9597" w:type="dxa"/>
            <w:gridSpan w:val="4"/>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（五）配料类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序号</w:t>
            </w:r>
          </w:p>
        </w:tc>
        <w:tc>
          <w:tcPr>
            <w:tcW w:w="2730"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品名</w:t>
            </w:r>
          </w:p>
        </w:tc>
        <w:tc>
          <w:tcPr>
            <w:tcW w:w="2716"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规格</w:t>
            </w:r>
          </w:p>
        </w:tc>
        <w:tc>
          <w:tcPr>
            <w:tcW w:w="3348" w:type="dxa"/>
            <w:shd w:val="clear" w:color="auto" w:fill="auto"/>
            <w:tcMar>
              <w:top w:w="0" w:type="dxa"/>
              <w:left w:w="105" w:type="dxa"/>
              <w:bottom w:w="0" w:type="dxa"/>
              <w:right w:w="105" w:type="dxa"/>
            </w:tcMar>
            <w:vAlign w:val="center"/>
          </w:tcPr>
          <w:p>
            <w:pPr>
              <w:pStyle w:val="22"/>
              <w:shd w:val="clear"/>
              <w:jc w:val="center"/>
              <w:rPr>
                <w:b/>
                <w:bCs/>
                <w:color w:val="auto"/>
                <w:sz w:val="21"/>
              </w:rPr>
            </w:pPr>
            <w:r>
              <w:rPr>
                <w:b/>
                <w:bCs/>
                <w:color w:val="auto"/>
                <w:sz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茴香</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2</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甘草</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3</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罗汉果</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4</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丁香</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5</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土茯苓</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6</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祛湿豆</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7</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八角</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8</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陈皮</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9</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红枣</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10</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蜜枣</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11</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绿豆</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12</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黄豆</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13</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花生米</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14</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薏米</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15</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干淮山</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16</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龙眼干</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17</w:t>
            </w:r>
          </w:p>
        </w:tc>
        <w:tc>
          <w:tcPr>
            <w:tcW w:w="2730"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五指毛桃</w:t>
            </w:r>
          </w:p>
        </w:tc>
        <w:tc>
          <w:tcPr>
            <w:tcW w:w="2716"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color w:val="auto"/>
                <w:sz w:val="21"/>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18</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南杏</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19</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北杏</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20</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淡菜</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21</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眉豆</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22</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赤小豆</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23</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茨实</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24</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莲子</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25</w:t>
            </w:r>
          </w:p>
        </w:tc>
        <w:tc>
          <w:tcPr>
            <w:tcW w:w="2730"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芸苓</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26</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白术</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27</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鸡骨草</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28</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连因陈</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29</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无花果</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30</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生枇杷叶</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31</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扁豆</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32</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花豆</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jc w:val="center"/>
        </w:trPr>
        <w:tc>
          <w:tcPr>
            <w:tcW w:w="803" w:type="dxa"/>
            <w:shd w:val="clear" w:color="auto" w:fill="auto"/>
            <w:tcMar>
              <w:top w:w="0" w:type="dxa"/>
              <w:left w:w="105" w:type="dxa"/>
              <w:bottom w:w="0" w:type="dxa"/>
              <w:right w:w="105" w:type="dxa"/>
            </w:tcMar>
            <w:vAlign w:val="center"/>
          </w:tcPr>
          <w:p>
            <w:pPr>
              <w:pStyle w:val="22"/>
              <w:shd w:val="clear"/>
              <w:jc w:val="center"/>
              <w:rPr>
                <w:rFonts w:hint="default"/>
                <w:color w:val="auto"/>
                <w:sz w:val="21"/>
                <w:lang w:val="en-US" w:eastAsia="zh-CN"/>
              </w:rPr>
            </w:pPr>
            <w:r>
              <w:rPr>
                <w:rFonts w:hint="eastAsia"/>
                <w:color w:val="auto"/>
                <w:sz w:val="21"/>
                <w:lang w:val="en-US" w:eastAsia="zh-CN"/>
              </w:rPr>
              <w:t>33</w:t>
            </w:r>
          </w:p>
        </w:tc>
        <w:tc>
          <w:tcPr>
            <w:tcW w:w="2730"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eastAsia="zh-CN"/>
              </w:rPr>
            </w:pPr>
            <w:r>
              <w:rPr>
                <w:rFonts w:hint="eastAsia"/>
                <w:color w:val="auto"/>
                <w:sz w:val="21"/>
                <w:lang w:eastAsia="zh-CN"/>
              </w:rPr>
              <w:t>巴戟杜仲</w:t>
            </w:r>
          </w:p>
        </w:tc>
        <w:tc>
          <w:tcPr>
            <w:tcW w:w="2716"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散</w:t>
            </w:r>
          </w:p>
        </w:tc>
        <w:tc>
          <w:tcPr>
            <w:tcW w:w="3348" w:type="dxa"/>
            <w:shd w:val="clear" w:color="auto" w:fill="auto"/>
            <w:tcMar>
              <w:top w:w="0" w:type="dxa"/>
              <w:left w:w="105" w:type="dxa"/>
              <w:bottom w:w="0" w:type="dxa"/>
              <w:right w:w="105" w:type="dxa"/>
            </w:tcMar>
            <w:vAlign w:val="center"/>
          </w:tcPr>
          <w:p>
            <w:pPr>
              <w:pStyle w:val="22"/>
              <w:shd w:val="clear"/>
              <w:jc w:val="center"/>
              <w:rPr>
                <w:rFonts w:hint="eastAsia"/>
                <w:color w:val="auto"/>
                <w:sz w:val="21"/>
                <w:lang w:val="en-US" w:eastAsia="zh-Hans"/>
              </w:rPr>
            </w:pPr>
            <w:r>
              <w:rPr>
                <w:color w:val="auto"/>
                <w:sz w:val="21"/>
              </w:rPr>
              <w:t>斤</w:t>
            </w:r>
          </w:p>
        </w:tc>
      </w:tr>
    </w:tbl>
    <w:p>
      <w:pPr>
        <w:shd w:val="clear"/>
        <w:rPr>
          <w:lang w:eastAsia="zh-Hans"/>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1FAEAC"/>
    <w:multiLevelType w:val="multilevel"/>
    <w:tmpl w:val="571FAEAC"/>
    <w:lvl w:ilvl="0" w:tentative="0">
      <w:start w:val="1"/>
      <w:numFmt w:val="decimal"/>
      <w:lvlText w:val="%1."/>
      <w:lvlJc w:val="left"/>
      <w:pPr>
        <w:ind w:left="432" w:hanging="432"/>
      </w:pPr>
      <w:rPr>
        <w:rFonts w:hint="default"/>
      </w:rPr>
    </w:lvl>
    <w:lvl w:ilvl="1" w:tentative="0">
      <w:start w:val="1"/>
      <w:numFmt w:val="decimal"/>
      <w:pStyle w:val="4"/>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53B52B8D"/>
    <w:rsid w:val="006F570E"/>
    <w:rsid w:val="0078143C"/>
    <w:rsid w:val="00E43C52"/>
    <w:rsid w:val="011E0236"/>
    <w:rsid w:val="02145195"/>
    <w:rsid w:val="02FA082F"/>
    <w:rsid w:val="03443362"/>
    <w:rsid w:val="03AE7F73"/>
    <w:rsid w:val="03DC492D"/>
    <w:rsid w:val="04542823"/>
    <w:rsid w:val="050A7391"/>
    <w:rsid w:val="052F2A11"/>
    <w:rsid w:val="055408A9"/>
    <w:rsid w:val="05B1651E"/>
    <w:rsid w:val="05FC51BD"/>
    <w:rsid w:val="06253E14"/>
    <w:rsid w:val="07060269"/>
    <w:rsid w:val="07154D23"/>
    <w:rsid w:val="075946FD"/>
    <w:rsid w:val="07911761"/>
    <w:rsid w:val="07D478A0"/>
    <w:rsid w:val="08064DBA"/>
    <w:rsid w:val="08236FF3"/>
    <w:rsid w:val="0955726C"/>
    <w:rsid w:val="098552F6"/>
    <w:rsid w:val="098F1CD1"/>
    <w:rsid w:val="09ED2E9B"/>
    <w:rsid w:val="09F4287E"/>
    <w:rsid w:val="0A1E73F4"/>
    <w:rsid w:val="0AA417AC"/>
    <w:rsid w:val="0AA90B70"/>
    <w:rsid w:val="0AC9214F"/>
    <w:rsid w:val="0ADF4703"/>
    <w:rsid w:val="0B9A495D"/>
    <w:rsid w:val="0BA46AE8"/>
    <w:rsid w:val="0BA46B52"/>
    <w:rsid w:val="0BD87233"/>
    <w:rsid w:val="0C07643F"/>
    <w:rsid w:val="0C087501"/>
    <w:rsid w:val="0C174BC2"/>
    <w:rsid w:val="0C2A7A8F"/>
    <w:rsid w:val="0C4A01D3"/>
    <w:rsid w:val="0C564B55"/>
    <w:rsid w:val="0CB41656"/>
    <w:rsid w:val="0D5C636E"/>
    <w:rsid w:val="0D6A16EC"/>
    <w:rsid w:val="0DC7755F"/>
    <w:rsid w:val="0E083E00"/>
    <w:rsid w:val="0E4B5838"/>
    <w:rsid w:val="0E8573E3"/>
    <w:rsid w:val="0ED32660"/>
    <w:rsid w:val="0EF26BE2"/>
    <w:rsid w:val="10466E02"/>
    <w:rsid w:val="109B53FF"/>
    <w:rsid w:val="10C00F00"/>
    <w:rsid w:val="10DC394E"/>
    <w:rsid w:val="11AA3C64"/>
    <w:rsid w:val="11E5113A"/>
    <w:rsid w:val="11FC7136"/>
    <w:rsid w:val="11FE2AA3"/>
    <w:rsid w:val="12301B77"/>
    <w:rsid w:val="126F08F1"/>
    <w:rsid w:val="1275424D"/>
    <w:rsid w:val="137D2B9A"/>
    <w:rsid w:val="13BF3AB8"/>
    <w:rsid w:val="147E4E1C"/>
    <w:rsid w:val="148166BA"/>
    <w:rsid w:val="14EF728E"/>
    <w:rsid w:val="14F50E56"/>
    <w:rsid w:val="152139F9"/>
    <w:rsid w:val="15770EB1"/>
    <w:rsid w:val="15AB710C"/>
    <w:rsid w:val="15F15C66"/>
    <w:rsid w:val="16A36DBB"/>
    <w:rsid w:val="16CC147C"/>
    <w:rsid w:val="16DE6045"/>
    <w:rsid w:val="16FC4669"/>
    <w:rsid w:val="1767428D"/>
    <w:rsid w:val="177F50ED"/>
    <w:rsid w:val="17D350B0"/>
    <w:rsid w:val="18414D58"/>
    <w:rsid w:val="184B14B9"/>
    <w:rsid w:val="184C2EC1"/>
    <w:rsid w:val="1855407B"/>
    <w:rsid w:val="18C63235"/>
    <w:rsid w:val="190855FC"/>
    <w:rsid w:val="19720CC7"/>
    <w:rsid w:val="198C1EB5"/>
    <w:rsid w:val="19B1207B"/>
    <w:rsid w:val="19B3645C"/>
    <w:rsid w:val="19F02531"/>
    <w:rsid w:val="19F25394"/>
    <w:rsid w:val="1A473F02"/>
    <w:rsid w:val="1A6E19FA"/>
    <w:rsid w:val="1AE460B7"/>
    <w:rsid w:val="1AF06007"/>
    <w:rsid w:val="1B4F2EB1"/>
    <w:rsid w:val="1C314E69"/>
    <w:rsid w:val="1C576D0C"/>
    <w:rsid w:val="1C760ACE"/>
    <w:rsid w:val="1C9345C7"/>
    <w:rsid w:val="1D4961E3"/>
    <w:rsid w:val="1D835251"/>
    <w:rsid w:val="1DED7C54"/>
    <w:rsid w:val="1DF12B02"/>
    <w:rsid w:val="1DF62D35"/>
    <w:rsid w:val="1E114F52"/>
    <w:rsid w:val="1E8B048A"/>
    <w:rsid w:val="1EDA17E8"/>
    <w:rsid w:val="1F5A411E"/>
    <w:rsid w:val="20170100"/>
    <w:rsid w:val="20781547"/>
    <w:rsid w:val="20AF17DC"/>
    <w:rsid w:val="20DB35F6"/>
    <w:rsid w:val="20F766A2"/>
    <w:rsid w:val="211014F1"/>
    <w:rsid w:val="213E2781"/>
    <w:rsid w:val="215B0647"/>
    <w:rsid w:val="21A35A6C"/>
    <w:rsid w:val="21B51903"/>
    <w:rsid w:val="21C26024"/>
    <w:rsid w:val="21EB5ABA"/>
    <w:rsid w:val="21F0363B"/>
    <w:rsid w:val="220726E7"/>
    <w:rsid w:val="22C74E2B"/>
    <w:rsid w:val="22D718B2"/>
    <w:rsid w:val="22ED5FDF"/>
    <w:rsid w:val="236C2E0C"/>
    <w:rsid w:val="23BF2B98"/>
    <w:rsid w:val="24066BDB"/>
    <w:rsid w:val="242920CC"/>
    <w:rsid w:val="25583467"/>
    <w:rsid w:val="25757B75"/>
    <w:rsid w:val="260D5FFF"/>
    <w:rsid w:val="262B0B7B"/>
    <w:rsid w:val="263B7584"/>
    <w:rsid w:val="26711997"/>
    <w:rsid w:val="26D93FBF"/>
    <w:rsid w:val="271A4200"/>
    <w:rsid w:val="27282EE2"/>
    <w:rsid w:val="274A6DDF"/>
    <w:rsid w:val="27734588"/>
    <w:rsid w:val="278368B4"/>
    <w:rsid w:val="279D4B9B"/>
    <w:rsid w:val="27DF324A"/>
    <w:rsid w:val="283F3EE2"/>
    <w:rsid w:val="28414686"/>
    <w:rsid w:val="297202BD"/>
    <w:rsid w:val="29954C89"/>
    <w:rsid w:val="29E057D9"/>
    <w:rsid w:val="29F55728"/>
    <w:rsid w:val="2A41096D"/>
    <w:rsid w:val="2A7501C8"/>
    <w:rsid w:val="2AB729DE"/>
    <w:rsid w:val="2ACC06D1"/>
    <w:rsid w:val="2AEB08D9"/>
    <w:rsid w:val="2B065713"/>
    <w:rsid w:val="2B0E091D"/>
    <w:rsid w:val="2B302828"/>
    <w:rsid w:val="2B4D4688"/>
    <w:rsid w:val="2B944ACD"/>
    <w:rsid w:val="2B957EC3"/>
    <w:rsid w:val="2BA52826"/>
    <w:rsid w:val="2BCD6EC9"/>
    <w:rsid w:val="2BF47D5C"/>
    <w:rsid w:val="2C622E1D"/>
    <w:rsid w:val="2CB76CC5"/>
    <w:rsid w:val="2D327875"/>
    <w:rsid w:val="2D8C6181"/>
    <w:rsid w:val="2D99286E"/>
    <w:rsid w:val="2DBD427A"/>
    <w:rsid w:val="2DBD6B7D"/>
    <w:rsid w:val="2DC84F02"/>
    <w:rsid w:val="2DCD2AB1"/>
    <w:rsid w:val="2E753E92"/>
    <w:rsid w:val="2ED0406E"/>
    <w:rsid w:val="2F1C3757"/>
    <w:rsid w:val="2F3C7955"/>
    <w:rsid w:val="2F771D97"/>
    <w:rsid w:val="2F7739FD"/>
    <w:rsid w:val="2F9257C7"/>
    <w:rsid w:val="2F9E416C"/>
    <w:rsid w:val="2FD84E69"/>
    <w:rsid w:val="30334B55"/>
    <w:rsid w:val="30DF101B"/>
    <w:rsid w:val="30E6401D"/>
    <w:rsid w:val="30EF65AA"/>
    <w:rsid w:val="31D07CE7"/>
    <w:rsid w:val="31E85B72"/>
    <w:rsid w:val="322C0750"/>
    <w:rsid w:val="32760C2A"/>
    <w:rsid w:val="32B61940"/>
    <w:rsid w:val="32D4660A"/>
    <w:rsid w:val="32D723BA"/>
    <w:rsid w:val="338D3BB2"/>
    <w:rsid w:val="34584889"/>
    <w:rsid w:val="3473547C"/>
    <w:rsid w:val="34AA710F"/>
    <w:rsid w:val="34C208FD"/>
    <w:rsid w:val="350E5ED5"/>
    <w:rsid w:val="355F7EFA"/>
    <w:rsid w:val="360D204B"/>
    <w:rsid w:val="36276456"/>
    <w:rsid w:val="36301896"/>
    <w:rsid w:val="36407D2B"/>
    <w:rsid w:val="36EA26A6"/>
    <w:rsid w:val="36F4271E"/>
    <w:rsid w:val="379F0A81"/>
    <w:rsid w:val="37B17BB1"/>
    <w:rsid w:val="37C812AE"/>
    <w:rsid w:val="37F012DD"/>
    <w:rsid w:val="37F71741"/>
    <w:rsid w:val="38244B3F"/>
    <w:rsid w:val="38541A45"/>
    <w:rsid w:val="38A1734A"/>
    <w:rsid w:val="38E30E42"/>
    <w:rsid w:val="39925C75"/>
    <w:rsid w:val="39FC2297"/>
    <w:rsid w:val="3A26548A"/>
    <w:rsid w:val="3A305520"/>
    <w:rsid w:val="3AA40BC6"/>
    <w:rsid w:val="3BC62A80"/>
    <w:rsid w:val="3C5C27FA"/>
    <w:rsid w:val="3CE86CE0"/>
    <w:rsid w:val="3D050BBA"/>
    <w:rsid w:val="3D466E8B"/>
    <w:rsid w:val="3D4E71D1"/>
    <w:rsid w:val="3D7A7FC6"/>
    <w:rsid w:val="3E18158D"/>
    <w:rsid w:val="3E6646EC"/>
    <w:rsid w:val="3E707AEA"/>
    <w:rsid w:val="3EEE466E"/>
    <w:rsid w:val="3F966C0E"/>
    <w:rsid w:val="3FFD0A3B"/>
    <w:rsid w:val="401144E6"/>
    <w:rsid w:val="40771707"/>
    <w:rsid w:val="41110C42"/>
    <w:rsid w:val="41807B75"/>
    <w:rsid w:val="41876507"/>
    <w:rsid w:val="41C85BD2"/>
    <w:rsid w:val="41E07D3E"/>
    <w:rsid w:val="41F90141"/>
    <w:rsid w:val="42745A71"/>
    <w:rsid w:val="42873DF2"/>
    <w:rsid w:val="42A14C48"/>
    <w:rsid w:val="42BE0955"/>
    <w:rsid w:val="42D0735D"/>
    <w:rsid w:val="42D82436"/>
    <w:rsid w:val="42EF6B3A"/>
    <w:rsid w:val="434E6ABB"/>
    <w:rsid w:val="435117C9"/>
    <w:rsid w:val="436406B7"/>
    <w:rsid w:val="436808C1"/>
    <w:rsid w:val="43931DE2"/>
    <w:rsid w:val="43B24586"/>
    <w:rsid w:val="44AB6CB7"/>
    <w:rsid w:val="44C14D99"/>
    <w:rsid w:val="450D6A97"/>
    <w:rsid w:val="4537679D"/>
    <w:rsid w:val="457251BF"/>
    <w:rsid w:val="457A0703"/>
    <w:rsid w:val="45C36283"/>
    <w:rsid w:val="45E222F3"/>
    <w:rsid w:val="45EA1A61"/>
    <w:rsid w:val="45EC3A2B"/>
    <w:rsid w:val="46790A77"/>
    <w:rsid w:val="46893028"/>
    <w:rsid w:val="46FA6014"/>
    <w:rsid w:val="47700FB4"/>
    <w:rsid w:val="47E61E55"/>
    <w:rsid w:val="48315726"/>
    <w:rsid w:val="48785837"/>
    <w:rsid w:val="49494CF1"/>
    <w:rsid w:val="49843AB4"/>
    <w:rsid w:val="499B245A"/>
    <w:rsid w:val="4A0F5F3A"/>
    <w:rsid w:val="4A7D10F6"/>
    <w:rsid w:val="4AC42904"/>
    <w:rsid w:val="4AE066E8"/>
    <w:rsid w:val="4B6D7487"/>
    <w:rsid w:val="4BEB349F"/>
    <w:rsid w:val="4CC26468"/>
    <w:rsid w:val="4DA6443D"/>
    <w:rsid w:val="4DA75FFF"/>
    <w:rsid w:val="4E1276A7"/>
    <w:rsid w:val="4E65437B"/>
    <w:rsid w:val="4EB1136E"/>
    <w:rsid w:val="4EB73F45"/>
    <w:rsid w:val="4EE16D3B"/>
    <w:rsid w:val="4F064C9D"/>
    <w:rsid w:val="4F585C8E"/>
    <w:rsid w:val="4F587F31"/>
    <w:rsid w:val="4F686D10"/>
    <w:rsid w:val="4F78309C"/>
    <w:rsid w:val="4F986314"/>
    <w:rsid w:val="4FC74BC1"/>
    <w:rsid w:val="4FF2521E"/>
    <w:rsid w:val="50101478"/>
    <w:rsid w:val="50760AC1"/>
    <w:rsid w:val="50833B9D"/>
    <w:rsid w:val="5099655E"/>
    <w:rsid w:val="50F639B0"/>
    <w:rsid w:val="51742BA6"/>
    <w:rsid w:val="51934A1B"/>
    <w:rsid w:val="51AC406F"/>
    <w:rsid w:val="51B32EA7"/>
    <w:rsid w:val="51B64EEE"/>
    <w:rsid w:val="51C27D36"/>
    <w:rsid w:val="523A167B"/>
    <w:rsid w:val="53310CD0"/>
    <w:rsid w:val="53766200"/>
    <w:rsid w:val="53AC0BEE"/>
    <w:rsid w:val="53B52B8D"/>
    <w:rsid w:val="53B86CFB"/>
    <w:rsid w:val="540B086D"/>
    <w:rsid w:val="5472334E"/>
    <w:rsid w:val="549A0AF6"/>
    <w:rsid w:val="552265B5"/>
    <w:rsid w:val="55482300"/>
    <w:rsid w:val="5572737D"/>
    <w:rsid w:val="564D4072"/>
    <w:rsid w:val="569255F8"/>
    <w:rsid w:val="56931C35"/>
    <w:rsid w:val="56C0486B"/>
    <w:rsid w:val="56CD0D0F"/>
    <w:rsid w:val="57175364"/>
    <w:rsid w:val="573945F7"/>
    <w:rsid w:val="573B211D"/>
    <w:rsid w:val="57BB500C"/>
    <w:rsid w:val="583848AE"/>
    <w:rsid w:val="584E2170"/>
    <w:rsid w:val="5861585B"/>
    <w:rsid w:val="591E1CF6"/>
    <w:rsid w:val="59A301C3"/>
    <w:rsid w:val="59A541C5"/>
    <w:rsid w:val="5A640B0E"/>
    <w:rsid w:val="5AEC6CFC"/>
    <w:rsid w:val="5B1505E5"/>
    <w:rsid w:val="5B1734E1"/>
    <w:rsid w:val="5B8D6CBF"/>
    <w:rsid w:val="5C385E47"/>
    <w:rsid w:val="5C5B500F"/>
    <w:rsid w:val="5CBA1507"/>
    <w:rsid w:val="5CCE758F"/>
    <w:rsid w:val="5D9A4243"/>
    <w:rsid w:val="5DD617DB"/>
    <w:rsid w:val="5E096894"/>
    <w:rsid w:val="5E5D506F"/>
    <w:rsid w:val="5ED337B2"/>
    <w:rsid w:val="5FC823B2"/>
    <w:rsid w:val="5FCA6734"/>
    <w:rsid w:val="603A3808"/>
    <w:rsid w:val="60746B6D"/>
    <w:rsid w:val="607828B8"/>
    <w:rsid w:val="61023CAB"/>
    <w:rsid w:val="61811074"/>
    <w:rsid w:val="61EE673E"/>
    <w:rsid w:val="62221C8D"/>
    <w:rsid w:val="62F94AE8"/>
    <w:rsid w:val="6347009B"/>
    <w:rsid w:val="637C5F97"/>
    <w:rsid w:val="63871A2C"/>
    <w:rsid w:val="63F41FD1"/>
    <w:rsid w:val="64053A27"/>
    <w:rsid w:val="64075CC4"/>
    <w:rsid w:val="640849E4"/>
    <w:rsid w:val="64994927"/>
    <w:rsid w:val="64B145FA"/>
    <w:rsid w:val="64BC6D09"/>
    <w:rsid w:val="64EC354F"/>
    <w:rsid w:val="655F791E"/>
    <w:rsid w:val="65DB7F6A"/>
    <w:rsid w:val="660B3602"/>
    <w:rsid w:val="66106E4C"/>
    <w:rsid w:val="661C63CF"/>
    <w:rsid w:val="662E5105"/>
    <w:rsid w:val="66F145A6"/>
    <w:rsid w:val="67256946"/>
    <w:rsid w:val="679748F4"/>
    <w:rsid w:val="67A755AC"/>
    <w:rsid w:val="68150768"/>
    <w:rsid w:val="685968A7"/>
    <w:rsid w:val="68716FB6"/>
    <w:rsid w:val="688D02FE"/>
    <w:rsid w:val="6893581B"/>
    <w:rsid w:val="693B477C"/>
    <w:rsid w:val="6A2161CA"/>
    <w:rsid w:val="6A327846"/>
    <w:rsid w:val="6A79207D"/>
    <w:rsid w:val="6A8355EC"/>
    <w:rsid w:val="6AF36CDB"/>
    <w:rsid w:val="6B144D07"/>
    <w:rsid w:val="6B694EA9"/>
    <w:rsid w:val="6BCF343F"/>
    <w:rsid w:val="6C082390"/>
    <w:rsid w:val="6C7F3644"/>
    <w:rsid w:val="6CA32D5A"/>
    <w:rsid w:val="6D265FA8"/>
    <w:rsid w:val="6D635AD2"/>
    <w:rsid w:val="6E241BF1"/>
    <w:rsid w:val="6E330C7F"/>
    <w:rsid w:val="6E3B7BBF"/>
    <w:rsid w:val="6E4A0A40"/>
    <w:rsid w:val="6E992475"/>
    <w:rsid w:val="6EDA5344"/>
    <w:rsid w:val="6EDF387E"/>
    <w:rsid w:val="6EF90C24"/>
    <w:rsid w:val="6F235519"/>
    <w:rsid w:val="6F6A5A07"/>
    <w:rsid w:val="6F6E2A00"/>
    <w:rsid w:val="6F8A1A3C"/>
    <w:rsid w:val="70710506"/>
    <w:rsid w:val="70AB1B08"/>
    <w:rsid w:val="713D6455"/>
    <w:rsid w:val="718E1E39"/>
    <w:rsid w:val="71902C0D"/>
    <w:rsid w:val="71D62036"/>
    <w:rsid w:val="71E03B95"/>
    <w:rsid w:val="720D29DE"/>
    <w:rsid w:val="7242215A"/>
    <w:rsid w:val="72AC1F4D"/>
    <w:rsid w:val="72FC6D7F"/>
    <w:rsid w:val="73B02C4C"/>
    <w:rsid w:val="748A603A"/>
    <w:rsid w:val="74DD23E1"/>
    <w:rsid w:val="74F26362"/>
    <w:rsid w:val="755521A4"/>
    <w:rsid w:val="75710F97"/>
    <w:rsid w:val="75AC42E3"/>
    <w:rsid w:val="75B17106"/>
    <w:rsid w:val="76D4359C"/>
    <w:rsid w:val="76F05403"/>
    <w:rsid w:val="7741389D"/>
    <w:rsid w:val="77543075"/>
    <w:rsid w:val="778E5E41"/>
    <w:rsid w:val="77F79321"/>
    <w:rsid w:val="77F9775E"/>
    <w:rsid w:val="78054355"/>
    <w:rsid w:val="7849788F"/>
    <w:rsid w:val="78880BA7"/>
    <w:rsid w:val="790A7BB4"/>
    <w:rsid w:val="794C1B10"/>
    <w:rsid w:val="79601B1D"/>
    <w:rsid w:val="79AA0D57"/>
    <w:rsid w:val="79F83D0B"/>
    <w:rsid w:val="7A252A8D"/>
    <w:rsid w:val="7A6842AE"/>
    <w:rsid w:val="7A910122"/>
    <w:rsid w:val="7AA33F4E"/>
    <w:rsid w:val="7B3B008E"/>
    <w:rsid w:val="7B810F79"/>
    <w:rsid w:val="7B9755FE"/>
    <w:rsid w:val="7BD6132F"/>
    <w:rsid w:val="7BE0283D"/>
    <w:rsid w:val="7C366C93"/>
    <w:rsid w:val="7C466CEA"/>
    <w:rsid w:val="7C6459F3"/>
    <w:rsid w:val="7C885555"/>
    <w:rsid w:val="7D3B5470"/>
    <w:rsid w:val="7D420743"/>
    <w:rsid w:val="7DDE0263"/>
    <w:rsid w:val="7E026C41"/>
    <w:rsid w:val="7E1C5F55"/>
    <w:rsid w:val="7F5E259D"/>
    <w:rsid w:val="7F6D458E"/>
    <w:rsid w:val="7F8F791E"/>
    <w:rsid w:val="7FA411F7"/>
    <w:rsid w:val="7FCB55CD"/>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4">
    <w:name w:val="heading 2"/>
    <w:basedOn w:val="1"/>
    <w:next w:val="1"/>
    <w:qFormat/>
    <w:uiPriority w:val="0"/>
    <w:pPr>
      <w:keepNext/>
      <w:keepLines/>
      <w:numPr>
        <w:ilvl w:val="1"/>
        <w:numId w:val="1"/>
      </w:numPr>
      <w:spacing w:before="120" w:after="120" w:line="360" w:lineRule="auto"/>
      <w:outlineLvl w:val="1"/>
    </w:pPr>
    <w:rPr>
      <w:rFonts w:ascii="Arial" w:hAnsi="Arial" w:eastAsia="宋体"/>
      <w:b/>
      <w:sz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kern w:val="0"/>
      <w:sz w:val="20"/>
      <w:szCs w:val="21"/>
    </w:rPr>
  </w:style>
  <w:style w:type="paragraph" w:styleId="5">
    <w:name w:val="annotation text"/>
    <w:basedOn w:val="1"/>
    <w:link w:val="15"/>
    <w:qFormat/>
    <w:uiPriority w:val="0"/>
    <w:pPr>
      <w:jc w:val="left"/>
    </w:pPr>
    <w:rPr>
      <w:kern w:val="0"/>
      <w:sz w:val="20"/>
    </w:rPr>
  </w:style>
  <w:style w:type="paragraph" w:styleId="6">
    <w:name w:val="Body Text Indent"/>
    <w:basedOn w:val="1"/>
    <w:next w:val="7"/>
    <w:qFormat/>
    <w:uiPriority w:val="0"/>
    <w:pPr>
      <w:spacing w:line="460" w:lineRule="exact"/>
      <w:ind w:firstLine="420" w:firstLineChars="200"/>
    </w:pPr>
    <w:rPr>
      <w:color w:val="000000"/>
    </w:rPr>
  </w:style>
  <w:style w:type="paragraph" w:styleId="7">
    <w:name w:val="envelope return"/>
    <w:basedOn w:val="1"/>
    <w:qFormat/>
    <w:uiPriority w:val="0"/>
    <w:pPr>
      <w:snapToGrid w:val="0"/>
    </w:pPr>
    <w:rPr>
      <w:rFonts w:ascii="Arial" w:hAnsi="Arial" w:eastAsia="宋体" w:cs="Times New Roman"/>
    </w:rPr>
  </w:style>
  <w:style w:type="paragraph" w:styleId="8">
    <w:name w:val="annotation subject"/>
    <w:basedOn w:val="5"/>
    <w:next w:val="5"/>
    <w:link w:val="21"/>
    <w:qFormat/>
    <w:uiPriority w:val="0"/>
    <w:rPr>
      <w:b/>
      <w:bCs/>
      <w:kern w:val="2"/>
      <w:sz w:val="21"/>
    </w:rPr>
  </w:style>
  <w:style w:type="paragraph" w:styleId="9">
    <w:name w:val="Body Text First Indent 2"/>
    <w:basedOn w:val="6"/>
    <w:qFormat/>
    <w:uiPriority w:val="0"/>
    <w:pPr>
      <w:spacing w:line="312" w:lineRule="auto"/>
      <w:ind w:firstLine="420" w:firstLineChars="200"/>
    </w:pPr>
    <w:rPr>
      <w:kern w:val="2"/>
      <w:szCs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mphasis"/>
    <w:basedOn w:val="12"/>
    <w:qFormat/>
    <w:uiPriority w:val="0"/>
    <w:rPr>
      <w:i/>
    </w:rPr>
  </w:style>
  <w:style w:type="character" w:styleId="14">
    <w:name w:val="annotation reference"/>
    <w:basedOn w:val="12"/>
    <w:qFormat/>
    <w:uiPriority w:val="0"/>
    <w:rPr>
      <w:sz w:val="21"/>
      <w:szCs w:val="21"/>
    </w:rPr>
  </w:style>
  <w:style w:type="character" w:customStyle="1" w:styleId="15">
    <w:name w:val="批注文字 字符"/>
    <w:basedOn w:val="12"/>
    <w:link w:val="5"/>
    <w:qFormat/>
    <w:uiPriority w:val="0"/>
    <w:rPr>
      <w:rFonts w:asciiTheme="minorHAnsi" w:hAnsiTheme="minorHAnsi" w:eastAsiaTheme="minorEastAsia" w:cstheme="minorBidi"/>
      <w:szCs w:val="24"/>
    </w:rPr>
  </w:style>
  <w:style w:type="paragraph" w:customStyle="1" w:styleId="16">
    <w:name w:val="_Style 3"/>
    <w:basedOn w:val="1"/>
    <w:qFormat/>
    <w:uiPriority w:val="0"/>
    <w:pPr>
      <w:ind w:firstLine="420" w:firstLineChars="200"/>
    </w:pPr>
    <w:rPr>
      <w:sz w:val="20"/>
    </w:rPr>
  </w:style>
  <w:style w:type="paragraph" w:customStyle="1" w:styleId="17">
    <w:name w:val="Normal Indent1"/>
    <w:basedOn w:val="1"/>
    <w:qFormat/>
    <w:uiPriority w:val="0"/>
    <w:pPr>
      <w:ind w:firstLine="420" w:firstLineChars="200"/>
    </w:pPr>
  </w:style>
  <w:style w:type="paragraph" w:customStyle="1" w:styleId="18">
    <w:name w:val="列出段落1"/>
    <w:basedOn w:val="1"/>
    <w:qFormat/>
    <w:uiPriority w:val="34"/>
    <w:pPr>
      <w:widowControl/>
      <w:ind w:firstLine="420" w:firstLineChars="200"/>
      <w:jc w:val="left"/>
    </w:pPr>
    <w:rPr>
      <w:rFonts w:ascii="宋体" w:hAnsi="宋体" w:cs="宋体"/>
      <w:kern w:val="0"/>
      <w:sz w:val="24"/>
    </w:rPr>
  </w:style>
  <w:style w:type="character" w:customStyle="1" w:styleId="19">
    <w:name w:val="font11"/>
    <w:qFormat/>
    <w:uiPriority w:val="0"/>
    <w:rPr>
      <w:rFonts w:hint="eastAsia" w:ascii="宋体" w:hAnsi="宋体" w:eastAsia="宋体" w:cs="宋体"/>
      <w:color w:val="000000"/>
      <w:sz w:val="20"/>
      <w:szCs w:val="20"/>
      <w:u w:val="none"/>
    </w:rPr>
  </w:style>
  <w:style w:type="paragraph" w:styleId="20">
    <w:name w:val="List Paragraph"/>
    <w:basedOn w:val="1"/>
    <w:qFormat/>
    <w:uiPriority w:val="99"/>
    <w:pPr>
      <w:ind w:firstLine="420" w:firstLineChars="200"/>
    </w:pPr>
  </w:style>
  <w:style w:type="character" w:customStyle="1" w:styleId="21">
    <w:name w:val="批注主题 字符"/>
    <w:basedOn w:val="15"/>
    <w:link w:val="8"/>
    <w:qFormat/>
    <w:uiPriority w:val="0"/>
    <w:rPr>
      <w:rFonts w:asciiTheme="minorHAnsi" w:hAnsiTheme="minorHAnsi" w:eastAsiaTheme="minorEastAsia" w:cstheme="minorBidi"/>
      <w:b/>
      <w:bCs/>
      <w:kern w:val="2"/>
      <w:sz w:val="21"/>
      <w:szCs w:val="24"/>
    </w:rPr>
  </w:style>
  <w:style w:type="paragraph" w:customStyle="1" w:styleId="2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C86BB-BB63-47FB-9E79-DB515F010C36}">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14975</Words>
  <Characters>15675</Characters>
  <Lines>553</Lines>
  <Paragraphs>155</Paragraphs>
  <TotalTime>271</TotalTime>
  <ScaleCrop>false</ScaleCrop>
  <LinksUpToDate>false</LinksUpToDate>
  <CharactersWithSpaces>15679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黄秉勋</cp:lastModifiedBy>
  <cp:lastPrinted>2024-05-06T07:12:00Z</cp:lastPrinted>
  <dcterms:modified xsi:type="dcterms:W3CDTF">2024-09-11T07:18:10Z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51E1994E65CD4CC592CFDDA6E9A36EFB_13</vt:lpwstr>
  </property>
</Properties>
</file>