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用户需求书</w:t>
      </w:r>
    </w:p>
    <w:p>
      <w:pPr>
        <w:pStyle w:val="1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项目名称</w:t>
      </w:r>
    </w:p>
    <w:p>
      <w:pPr>
        <w:pStyle w:val="10"/>
        <w:spacing w:line="360" w:lineRule="auto"/>
        <w:ind w:left="72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广东省妇幼保健院风险评估和内部控制评价项目。</w:t>
      </w:r>
    </w:p>
    <w:p>
      <w:pPr>
        <w:pStyle w:val="10"/>
        <w:spacing w:line="360" w:lineRule="auto"/>
        <w:ind w:left="720" w:firstLine="0" w:firstLineChars="0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1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预算金额</w:t>
      </w:r>
    </w:p>
    <w:tbl>
      <w:tblPr>
        <w:tblStyle w:val="6"/>
        <w:tblW w:w="71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3095"/>
        <w:gridCol w:w="26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141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24"/>
                <w:szCs w:val="24"/>
              </w:rPr>
              <w:t>序号</w:t>
            </w:r>
          </w:p>
        </w:tc>
        <w:tc>
          <w:tcPr>
            <w:tcW w:w="30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24"/>
                <w:szCs w:val="24"/>
              </w:rPr>
              <w:t>项目</w:t>
            </w:r>
          </w:p>
        </w:tc>
        <w:tc>
          <w:tcPr>
            <w:tcW w:w="267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24"/>
                <w:szCs w:val="24"/>
              </w:rPr>
              <w:t>预算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141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1</w:t>
            </w:r>
          </w:p>
        </w:tc>
        <w:tc>
          <w:tcPr>
            <w:tcW w:w="30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风险评估</w:t>
            </w:r>
          </w:p>
        </w:tc>
        <w:tc>
          <w:tcPr>
            <w:tcW w:w="2673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人民币10万元以内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41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2</w:t>
            </w:r>
          </w:p>
        </w:tc>
        <w:tc>
          <w:tcPr>
            <w:tcW w:w="30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内部控制评价</w:t>
            </w:r>
          </w:p>
        </w:tc>
        <w:tc>
          <w:tcPr>
            <w:tcW w:w="2673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1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主要工作内容</w:t>
      </w:r>
    </w:p>
    <w:p>
      <w:pPr>
        <w:spacing w:line="360" w:lineRule="auto"/>
        <w:ind w:firstLine="720" w:firstLineChars="3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通过比选议价方式选择一家供应商完成以下内容。</w:t>
      </w:r>
    </w:p>
    <w:p>
      <w:pPr>
        <w:spacing w:line="360" w:lineRule="auto"/>
        <w:ind w:firstLine="720" w:firstLineChars="3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依据《关于印发公立医院内部控制管理办法的通知》（国卫财务发[2020]31号）、《关于进一步加强公立医院内部控制建设的指导意见》（财会[2023]31号）等文件要求，完成医院风险评估及内部控制评价工作，出具风险评估报告、内部控制评价报告。</w:t>
      </w:r>
    </w:p>
    <w:p>
      <w:pPr>
        <w:spacing w:line="360" w:lineRule="auto"/>
        <w:ind w:firstLine="720" w:firstLineChars="3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医院内部控制评价报告至少应当包括：真实性声明、评价工作总体情况、评价依据、评价范围、评价程序和方法、风险及其认定、风险整改及对重大风险拟采取的控制措施、评价结论等内容。</w:t>
      </w:r>
    </w:p>
    <w:p>
      <w:pPr>
        <w:spacing w:line="360" w:lineRule="auto"/>
        <w:ind w:firstLine="720" w:firstLineChars="3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一）风险评估具体内容：进行单位层面和业务层面的风险评估。单位层面风险评估包含内部控制组织建设情况、内部控制机制建设情况、内部控制制度建设情况、内部控制队伍建设情况、内部控制流程建设情况以及其他需要关注的内容；业务层面的风险评估包含预算管理情况、收支管理情况、政府采购管理情况、资产管理情况、建设项目管理情况、合同管理情况、医疗业务管理情况、科研项目和临床试验项目管理情况、教学管理情况、互联网诊疗管理情况、医联体管理情况、信息系统管理情况。</w:t>
      </w:r>
    </w:p>
    <w:p>
      <w:pPr>
        <w:spacing w:line="360" w:lineRule="auto"/>
        <w:ind w:firstLine="720" w:firstLineChars="3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二）内部控制评价具体内容：进行内部控制设计有效性和运行有效性的评价。内部控制设计有效性评价包含：内部控制的设计是否符合《行政事业单位内部控制规范（试行）》等规定要求。是否覆盖本单位经济活动及相关业务活动、是否涵盖所有内部控制关键岗位、关键部门及相关工作人员和工作任务。是否对重要经济活动及其重大风险给予足够关注，并建立相应的控制措施。是否重点关注关键部门和岗位、重大政策落实、重点专项执行和高风险领域。是否根据国家相关政策、单位经济活动的调整和自身条件的变化，适时调整内部控制的关键控制点和控制措施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内部控制运行有效性评价包含：各项经济活动及相关业务活动在评价期内是否按照规定得到持续、一致的执行。内部控制机制、内部管理制度、岗位责任制、内部控制措施是否得到有效执行。执行业务控制的相关人员是否具备必要的权限、资格和能力。相关内部控制是否有效防范了重大差错和重大风险的发生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1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服务期</w:t>
      </w:r>
      <w:bookmarkStart w:id="0" w:name="_GoBack"/>
      <w:bookmarkEnd w:id="0"/>
    </w:p>
    <w:p>
      <w:pPr>
        <w:pStyle w:val="10"/>
        <w:spacing w:line="360" w:lineRule="auto"/>
        <w:ind w:left="72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服务期限为2024年年度内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需在本年度内按要求提交报告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pStyle w:val="10"/>
        <w:spacing w:line="360" w:lineRule="auto"/>
        <w:ind w:left="720" w:firstLine="0" w:firstLineChars="0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1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b/>
          <w:color w:val="00000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shd w:val="clear" w:color="auto" w:fill="FFFFFF"/>
        </w:rPr>
        <w:t>付款方式</w:t>
      </w:r>
    </w:p>
    <w:p>
      <w:pPr>
        <w:pStyle w:val="10"/>
        <w:widowControl/>
        <w:spacing w:line="520" w:lineRule="exact"/>
        <w:ind w:left="160" w:leftChars="76" w:firstLine="600" w:firstLineChars="250"/>
        <w:contextualSpacing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当年风险评估报告和内部控制评价报告正式稿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交付且</w:t>
      </w:r>
      <w:r>
        <w:rPr>
          <w:rFonts w:hint="eastAsia" w:ascii="宋体" w:hAnsi="宋体" w:eastAsia="宋体" w:cs="宋体"/>
          <w:sz w:val="24"/>
          <w:szCs w:val="24"/>
        </w:rPr>
        <w:t>经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采购人</w:t>
      </w:r>
      <w:r>
        <w:rPr>
          <w:rFonts w:hint="eastAsia" w:ascii="宋体" w:hAnsi="宋体" w:eastAsia="宋体" w:cs="宋体"/>
          <w:sz w:val="24"/>
          <w:szCs w:val="24"/>
        </w:rPr>
        <w:t>验收后支付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合同款项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pStyle w:val="10"/>
        <w:widowControl/>
        <w:spacing w:line="520" w:lineRule="exact"/>
        <w:ind w:left="160" w:leftChars="76" w:firstLine="600" w:firstLineChars="250"/>
        <w:contextualSpacing/>
        <w:rPr>
          <w:rFonts w:hint="eastAsia" w:ascii="宋体" w:hAnsi="宋体" w:eastAsia="宋体" w:cs="宋体"/>
          <w:sz w:val="24"/>
          <w:szCs w:val="24"/>
        </w:rPr>
      </w:pPr>
    </w:p>
    <w:p>
      <w:pPr>
        <w:pStyle w:val="10"/>
        <w:widowControl/>
        <w:spacing w:line="520" w:lineRule="exact"/>
        <w:ind w:left="160" w:leftChars="76" w:firstLine="600" w:firstLineChars="250"/>
        <w:contextualSpacing/>
        <w:rPr>
          <w:rFonts w:hint="eastAsia" w:ascii="宋体" w:hAnsi="宋体" w:eastAsia="宋体" w:cs="宋体"/>
          <w:sz w:val="24"/>
          <w:szCs w:val="24"/>
        </w:rPr>
      </w:pPr>
    </w:p>
    <w:p>
      <w:pPr>
        <w:pStyle w:val="10"/>
        <w:widowControl/>
        <w:spacing w:line="520" w:lineRule="exact"/>
        <w:ind w:left="160" w:leftChars="76" w:firstLine="600" w:firstLineChars="250"/>
        <w:contextualSpacing/>
        <w:rPr>
          <w:rFonts w:hint="eastAsia" w:ascii="宋体" w:hAnsi="宋体" w:eastAsia="宋体" w:cs="宋体"/>
          <w:sz w:val="24"/>
          <w:szCs w:val="24"/>
        </w:rPr>
      </w:pPr>
    </w:p>
    <w:p>
      <w:pPr>
        <w:widowControl/>
        <w:spacing w:line="520" w:lineRule="exact"/>
        <w:contextualSpacing/>
        <w:rPr>
          <w:rFonts w:hint="eastAsia" w:ascii="宋体" w:hAnsi="宋体" w:eastAsia="宋体" w:cs="宋体"/>
          <w:sz w:val="24"/>
          <w:szCs w:val="24"/>
        </w:rPr>
      </w:pPr>
    </w:p>
    <w:p>
      <w:pPr>
        <w:widowControl/>
        <w:spacing w:line="520" w:lineRule="exact"/>
        <w:contextualSpacing/>
        <w:rPr>
          <w:rFonts w:hint="eastAsia" w:ascii="宋体" w:hAnsi="宋体" w:eastAsia="宋体" w:cs="宋体"/>
          <w:sz w:val="24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832681120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DB6350"/>
    <w:multiLevelType w:val="multilevel"/>
    <w:tmpl w:val="59DB6350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asciiTheme="minorEastAsia" w:hAnsiTheme="minorEastAsia" w:eastAsiaTheme="minorEastAsia" w:cstheme="minorBidi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JkMjExMTU2MjcyNTYxYmUwOTUzMmZiY2ZkNmUzOTMifQ=="/>
  </w:docVars>
  <w:rsids>
    <w:rsidRoot w:val="00956D82"/>
    <w:rsid w:val="00007C22"/>
    <w:rsid w:val="0001302A"/>
    <w:rsid w:val="000146CA"/>
    <w:rsid w:val="0003706B"/>
    <w:rsid w:val="000424BF"/>
    <w:rsid w:val="00044536"/>
    <w:rsid w:val="00045A4B"/>
    <w:rsid w:val="00056DCF"/>
    <w:rsid w:val="00056E66"/>
    <w:rsid w:val="00063DEB"/>
    <w:rsid w:val="00066918"/>
    <w:rsid w:val="00071930"/>
    <w:rsid w:val="0007204C"/>
    <w:rsid w:val="00082EBE"/>
    <w:rsid w:val="00090C02"/>
    <w:rsid w:val="00096494"/>
    <w:rsid w:val="000B4CBD"/>
    <w:rsid w:val="000B5D5E"/>
    <w:rsid w:val="000C2166"/>
    <w:rsid w:val="000C7100"/>
    <w:rsid w:val="000D4416"/>
    <w:rsid w:val="000D5B7D"/>
    <w:rsid w:val="000F1C27"/>
    <w:rsid w:val="000F7E6A"/>
    <w:rsid w:val="00102C6D"/>
    <w:rsid w:val="00107A54"/>
    <w:rsid w:val="00110F09"/>
    <w:rsid w:val="00113D20"/>
    <w:rsid w:val="00117400"/>
    <w:rsid w:val="00117828"/>
    <w:rsid w:val="00131C59"/>
    <w:rsid w:val="001360C2"/>
    <w:rsid w:val="0013610C"/>
    <w:rsid w:val="00142F47"/>
    <w:rsid w:val="00146387"/>
    <w:rsid w:val="00147FB7"/>
    <w:rsid w:val="00153968"/>
    <w:rsid w:val="001560C8"/>
    <w:rsid w:val="00171FB8"/>
    <w:rsid w:val="00184996"/>
    <w:rsid w:val="001860D6"/>
    <w:rsid w:val="001B5521"/>
    <w:rsid w:val="001B6F99"/>
    <w:rsid w:val="001C0F2A"/>
    <w:rsid w:val="001C3577"/>
    <w:rsid w:val="001C71F2"/>
    <w:rsid w:val="001D4469"/>
    <w:rsid w:val="001E3232"/>
    <w:rsid w:val="001F0525"/>
    <w:rsid w:val="00211213"/>
    <w:rsid w:val="00212414"/>
    <w:rsid w:val="00225246"/>
    <w:rsid w:val="00227D02"/>
    <w:rsid w:val="00237454"/>
    <w:rsid w:val="00246200"/>
    <w:rsid w:val="002507CD"/>
    <w:rsid w:val="00252045"/>
    <w:rsid w:val="00262E9A"/>
    <w:rsid w:val="00263508"/>
    <w:rsid w:val="002A4254"/>
    <w:rsid w:val="002B40ED"/>
    <w:rsid w:val="002B62A5"/>
    <w:rsid w:val="002C67E5"/>
    <w:rsid w:val="002D6B9F"/>
    <w:rsid w:val="002E047A"/>
    <w:rsid w:val="002E7100"/>
    <w:rsid w:val="002F2C24"/>
    <w:rsid w:val="0030183D"/>
    <w:rsid w:val="0030541E"/>
    <w:rsid w:val="00307702"/>
    <w:rsid w:val="003124DB"/>
    <w:rsid w:val="0031477A"/>
    <w:rsid w:val="003247E8"/>
    <w:rsid w:val="00330927"/>
    <w:rsid w:val="003631BA"/>
    <w:rsid w:val="00363909"/>
    <w:rsid w:val="0036491D"/>
    <w:rsid w:val="00366FF2"/>
    <w:rsid w:val="003705D9"/>
    <w:rsid w:val="00373CA7"/>
    <w:rsid w:val="00380756"/>
    <w:rsid w:val="003866BC"/>
    <w:rsid w:val="0038747D"/>
    <w:rsid w:val="00394887"/>
    <w:rsid w:val="00397865"/>
    <w:rsid w:val="003B783F"/>
    <w:rsid w:val="003C0963"/>
    <w:rsid w:val="003C75FC"/>
    <w:rsid w:val="003D0E1B"/>
    <w:rsid w:val="003D21ED"/>
    <w:rsid w:val="003D298B"/>
    <w:rsid w:val="003D381E"/>
    <w:rsid w:val="003D6639"/>
    <w:rsid w:val="003D7C44"/>
    <w:rsid w:val="003E1324"/>
    <w:rsid w:val="003E4630"/>
    <w:rsid w:val="003E55F5"/>
    <w:rsid w:val="003F76D6"/>
    <w:rsid w:val="00401F70"/>
    <w:rsid w:val="00404548"/>
    <w:rsid w:val="004057C3"/>
    <w:rsid w:val="004123D2"/>
    <w:rsid w:val="00412716"/>
    <w:rsid w:val="0042325E"/>
    <w:rsid w:val="00435A0D"/>
    <w:rsid w:val="004376E1"/>
    <w:rsid w:val="004553A5"/>
    <w:rsid w:val="004641CC"/>
    <w:rsid w:val="004649D1"/>
    <w:rsid w:val="00481D4A"/>
    <w:rsid w:val="00482006"/>
    <w:rsid w:val="004822DF"/>
    <w:rsid w:val="00484BFE"/>
    <w:rsid w:val="00494722"/>
    <w:rsid w:val="004A3A9E"/>
    <w:rsid w:val="004C3A7B"/>
    <w:rsid w:val="004C47AE"/>
    <w:rsid w:val="004D12AA"/>
    <w:rsid w:val="004E206D"/>
    <w:rsid w:val="004E475E"/>
    <w:rsid w:val="004E4E50"/>
    <w:rsid w:val="004E5373"/>
    <w:rsid w:val="004E6BE9"/>
    <w:rsid w:val="004F1D26"/>
    <w:rsid w:val="004F3791"/>
    <w:rsid w:val="00502440"/>
    <w:rsid w:val="00513ABB"/>
    <w:rsid w:val="00525DA8"/>
    <w:rsid w:val="00526BD3"/>
    <w:rsid w:val="00530B40"/>
    <w:rsid w:val="00531741"/>
    <w:rsid w:val="005326B6"/>
    <w:rsid w:val="00550BCB"/>
    <w:rsid w:val="00551F57"/>
    <w:rsid w:val="00556BF9"/>
    <w:rsid w:val="00562EB4"/>
    <w:rsid w:val="00562F51"/>
    <w:rsid w:val="00563467"/>
    <w:rsid w:val="00574D44"/>
    <w:rsid w:val="005815E9"/>
    <w:rsid w:val="00582489"/>
    <w:rsid w:val="00583D64"/>
    <w:rsid w:val="00586B98"/>
    <w:rsid w:val="00586CCF"/>
    <w:rsid w:val="00594F27"/>
    <w:rsid w:val="005A671E"/>
    <w:rsid w:val="005D4361"/>
    <w:rsid w:val="005D7223"/>
    <w:rsid w:val="005E1BF9"/>
    <w:rsid w:val="005E5385"/>
    <w:rsid w:val="005F34D7"/>
    <w:rsid w:val="00603C62"/>
    <w:rsid w:val="00614F75"/>
    <w:rsid w:val="0062075E"/>
    <w:rsid w:val="006236D5"/>
    <w:rsid w:val="006312D4"/>
    <w:rsid w:val="0063619C"/>
    <w:rsid w:val="00637441"/>
    <w:rsid w:val="00637AF0"/>
    <w:rsid w:val="00642AC0"/>
    <w:rsid w:val="00645119"/>
    <w:rsid w:val="00646F50"/>
    <w:rsid w:val="0065011F"/>
    <w:rsid w:val="00650C91"/>
    <w:rsid w:val="006616F7"/>
    <w:rsid w:val="006726D3"/>
    <w:rsid w:val="00676AA1"/>
    <w:rsid w:val="00683686"/>
    <w:rsid w:val="006968A5"/>
    <w:rsid w:val="006A6799"/>
    <w:rsid w:val="006A681C"/>
    <w:rsid w:val="006A7F9B"/>
    <w:rsid w:val="006B592E"/>
    <w:rsid w:val="006C062F"/>
    <w:rsid w:val="006C5FD5"/>
    <w:rsid w:val="006C64AE"/>
    <w:rsid w:val="006D468B"/>
    <w:rsid w:val="006E1D89"/>
    <w:rsid w:val="006E3B3E"/>
    <w:rsid w:val="006E63C3"/>
    <w:rsid w:val="006E6E38"/>
    <w:rsid w:val="00713561"/>
    <w:rsid w:val="00736CDA"/>
    <w:rsid w:val="007459B4"/>
    <w:rsid w:val="007634C0"/>
    <w:rsid w:val="007652A9"/>
    <w:rsid w:val="0076579B"/>
    <w:rsid w:val="007719CE"/>
    <w:rsid w:val="00772A28"/>
    <w:rsid w:val="00777F18"/>
    <w:rsid w:val="007851CE"/>
    <w:rsid w:val="00797759"/>
    <w:rsid w:val="007A7835"/>
    <w:rsid w:val="007B08AA"/>
    <w:rsid w:val="007B3A03"/>
    <w:rsid w:val="007C1D99"/>
    <w:rsid w:val="007C4A20"/>
    <w:rsid w:val="007C53E4"/>
    <w:rsid w:val="007C5A3A"/>
    <w:rsid w:val="007C7C36"/>
    <w:rsid w:val="007D3E88"/>
    <w:rsid w:val="007D40CC"/>
    <w:rsid w:val="007D5509"/>
    <w:rsid w:val="007E069B"/>
    <w:rsid w:val="007E16B3"/>
    <w:rsid w:val="007E3A92"/>
    <w:rsid w:val="007F0A15"/>
    <w:rsid w:val="007F3C81"/>
    <w:rsid w:val="0080282B"/>
    <w:rsid w:val="008067D9"/>
    <w:rsid w:val="00807551"/>
    <w:rsid w:val="00812466"/>
    <w:rsid w:val="00814A4B"/>
    <w:rsid w:val="00824AA0"/>
    <w:rsid w:val="00825DF3"/>
    <w:rsid w:val="00826601"/>
    <w:rsid w:val="00830683"/>
    <w:rsid w:val="00833D39"/>
    <w:rsid w:val="0083464C"/>
    <w:rsid w:val="008354A6"/>
    <w:rsid w:val="00835AFB"/>
    <w:rsid w:val="00836E9D"/>
    <w:rsid w:val="00837842"/>
    <w:rsid w:val="00861401"/>
    <w:rsid w:val="0088687C"/>
    <w:rsid w:val="0089038E"/>
    <w:rsid w:val="00897BBA"/>
    <w:rsid w:val="008A4F1E"/>
    <w:rsid w:val="008A7154"/>
    <w:rsid w:val="008C3178"/>
    <w:rsid w:val="008C6D49"/>
    <w:rsid w:val="008D5F09"/>
    <w:rsid w:val="008D7EC9"/>
    <w:rsid w:val="008E34DB"/>
    <w:rsid w:val="008F10DE"/>
    <w:rsid w:val="008F47A1"/>
    <w:rsid w:val="008F72C8"/>
    <w:rsid w:val="0090062C"/>
    <w:rsid w:val="00905D5F"/>
    <w:rsid w:val="00906CB8"/>
    <w:rsid w:val="00907E10"/>
    <w:rsid w:val="00914B7E"/>
    <w:rsid w:val="00920119"/>
    <w:rsid w:val="009205A4"/>
    <w:rsid w:val="009300D3"/>
    <w:rsid w:val="00930731"/>
    <w:rsid w:val="00932CA3"/>
    <w:rsid w:val="0093346B"/>
    <w:rsid w:val="00935A87"/>
    <w:rsid w:val="0094070D"/>
    <w:rsid w:val="009430B8"/>
    <w:rsid w:val="009479B4"/>
    <w:rsid w:val="00951182"/>
    <w:rsid w:val="00952E14"/>
    <w:rsid w:val="00953F3D"/>
    <w:rsid w:val="00956D82"/>
    <w:rsid w:val="009679D9"/>
    <w:rsid w:val="009717A7"/>
    <w:rsid w:val="00982A82"/>
    <w:rsid w:val="009A0F23"/>
    <w:rsid w:val="009A1C83"/>
    <w:rsid w:val="009A283F"/>
    <w:rsid w:val="009A3E6F"/>
    <w:rsid w:val="009A4351"/>
    <w:rsid w:val="009A7F10"/>
    <w:rsid w:val="009B0C7A"/>
    <w:rsid w:val="009B5E9E"/>
    <w:rsid w:val="009C22AA"/>
    <w:rsid w:val="009C6CF7"/>
    <w:rsid w:val="009D3F5A"/>
    <w:rsid w:val="009F0194"/>
    <w:rsid w:val="009F542F"/>
    <w:rsid w:val="00A02424"/>
    <w:rsid w:val="00A0247A"/>
    <w:rsid w:val="00A122AC"/>
    <w:rsid w:val="00A2042D"/>
    <w:rsid w:val="00A2400D"/>
    <w:rsid w:val="00A36135"/>
    <w:rsid w:val="00A364AB"/>
    <w:rsid w:val="00A406AB"/>
    <w:rsid w:val="00A43934"/>
    <w:rsid w:val="00A45F2C"/>
    <w:rsid w:val="00A510B6"/>
    <w:rsid w:val="00A54E4C"/>
    <w:rsid w:val="00A65FFE"/>
    <w:rsid w:val="00A80701"/>
    <w:rsid w:val="00A91BD1"/>
    <w:rsid w:val="00A91F7A"/>
    <w:rsid w:val="00A94789"/>
    <w:rsid w:val="00AB0DBD"/>
    <w:rsid w:val="00AB2555"/>
    <w:rsid w:val="00AB389C"/>
    <w:rsid w:val="00AC3E51"/>
    <w:rsid w:val="00AC7E96"/>
    <w:rsid w:val="00AD3795"/>
    <w:rsid w:val="00AD4643"/>
    <w:rsid w:val="00AE37B4"/>
    <w:rsid w:val="00B03610"/>
    <w:rsid w:val="00B11B6A"/>
    <w:rsid w:val="00B1280D"/>
    <w:rsid w:val="00B202C8"/>
    <w:rsid w:val="00B21994"/>
    <w:rsid w:val="00B22E7F"/>
    <w:rsid w:val="00B24981"/>
    <w:rsid w:val="00B32E4F"/>
    <w:rsid w:val="00B3509E"/>
    <w:rsid w:val="00B4293E"/>
    <w:rsid w:val="00B57467"/>
    <w:rsid w:val="00B81865"/>
    <w:rsid w:val="00B84981"/>
    <w:rsid w:val="00B876B7"/>
    <w:rsid w:val="00B908AC"/>
    <w:rsid w:val="00BA0F2F"/>
    <w:rsid w:val="00BA41A5"/>
    <w:rsid w:val="00BA5E2B"/>
    <w:rsid w:val="00BB2B54"/>
    <w:rsid w:val="00BB6CFA"/>
    <w:rsid w:val="00BB6E1D"/>
    <w:rsid w:val="00BC372B"/>
    <w:rsid w:val="00BC75D4"/>
    <w:rsid w:val="00BD2593"/>
    <w:rsid w:val="00BF0863"/>
    <w:rsid w:val="00BF6BB7"/>
    <w:rsid w:val="00C10F32"/>
    <w:rsid w:val="00C127AC"/>
    <w:rsid w:val="00C20664"/>
    <w:rsid w:val="00C24339"/>
    <w:rsid w:val="00C273DB"/>
    <w:rsid w:val="00C30223"/>
    <w:rsid w:val="00C33356"/>
    <w:rsid w:val="00C43E35"/>
    <w:rsid w:val="00C50F38"/>
    <w:rsid w:val="00C52F6C"/>
    <w:rsid w:val="00C557DF"/>
    <w:rsid w:val="00C6003C"/>
    <w:rsid w:val="00C93B48"/>
    <w:rsid w:val="00C941CC"/>
    <w:rsid w:val="00C951C1"/>
    <w:rsid w:val="00CA03F5"/>
    <w:rsid w:val="00CB66E8"/>
    <w:rsid w:val="00CC04F1"/>
    <w:rsid w:val="00CC4C5E"/>
    <w:rsid w:val="00CC7A7D"/>
    <w:rsid w:val="00CD59C9"/>
    <w:rsid w:val="00CE1404"/>
    <w:rsid w:val="00CE3C07"/>
    <w:rsid w:val="00CE4ABF"/>
    <w:rsid w:val="00CF34DA"/>
    <w:rsid w:val="00CF64B3"/>
    <w:rsid w:val="00CF7FA8"/>
    <w:rsid w:val="00D011BD"/>
    <w:rsid w:val="00D16957"/>
    <w:rsid w:val="00D263F5"/>
    <w:rsid w:val="00D333FC"/>
    <w:rsid w:val="00D400ED"/>
    <w:rsid w:val="00D47F07"/>
    <w:rsid w:val="00D5115F"/>
    <w:rsid w:val="00D57496"/>
    <w:rsid w:val="00D62535"/>
    <w:rsid w:val="00D73466"/>
    <w:rsid w:val="00D83235"/>
    <w:rsid w:val="00D8591B"/>
    <w:rsid w:val="00D9300D"/>
    <w:rsid w:val="00D96C51"/>
    <w:rsid w:val="00DA485A"/>
    <w:rsid w:val="00DB6939"/>
    <w:rsid w:val="00DD57D9"/>
    <w:rsid w:val="00DE079C"/>
    <w:rsid w:val="00E05377"/>
    <w:rsid w:val="00E06388"/>
    <w:rsid w:val="00E07AF6"/>
    <w:rsid w:val="00E20C1F"/>
    <w:rsid w:val="00E30483"/>
    <w:rsid w:val="00E32251"/>
    <w:rsid w:val="00E404D4"/>
    <w:rsid w:val="00E40C92"/>
    <w:rsid w:val="00E47E2D"/>
    <w:rsid w:val="00E50DAF"/>
    <w:rsid w:val="00E828FE"/>
    <w:rsid w:val="00E86573"/>
    <w:rsid w:val="00E977B9"/>
    <w:rsid w:val="00EB1107"/>
    <w:rsid w:val="00EB6396"/>
    <w:rsid w:val="00EC6612"/>
    <w:rsid w:val="00EC6BCC"/>
    <w:rsid w:val="00EF7520"/>
    <w:rsid w:val="00F01BAF"/>
    <w:rsid w:val="00F06735"/>
    <w:rsid w:val="00F11126"/>
    <w:rsid w:val="00F13E12"/>
    <w:rsid w:val="00F14348"/>
    <w:rsid w:val="00F223F6"/>
    <w:rsid w:val="00F367F2"/>
    <w:rsid w:val="00F518D1"/>
    <w:rsid w:val="00F53D5E"/>
    <w:rsid w:val="00F572C8"/>
    <w:rsid w:val="00F5734C"/>
    <w:rsid w:val="00F619E0"/>
    <w:rsid w:val="00F773A1"/>
    <w:rsid w:val="00F901E9"/>
    <w:rsid w:val="00F9055E"/>
    <w:rsid w:val="00F923D2"/>
    <w:rsid w:val="00FB34D1"/>
    <w:rsid w:val="00FC0125"/>
    <w:rsid w:val="00FC7F80"/>
    <w:rsid w:val="00FD06D0"/>
    <w:rsid w:val="00FD7384"/>
    <w:rsid w:val="00FE1388"/>
    <w:rsid w:val="00FE33C6"/>
    <w:rsid w:val="00FE4536"/>
    <w:rsid w:val="00FE5361"/>
    <w:rsid w:val="00FE6906"/>
    <w:rsid w:val="00FE6B2F"/>
    <w:rsid w:val="07EC6D4C"/>
    <w:rsid w:val="1A422E4F"/>
    <w:rsid w:val="52205F23"/>
    <w:rsid w:val="67DC6CE8"/>
    <w:rsid w:val="6A7E4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rPr>
      <w:rFonts w:ascii="Calibri" w:hAnsi="Calibri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字符"/>
    <w:basedOn w:val="7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C410A0-6A9B-4FE5-B3B8-356EEE0AD7D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1209</Words>
  <Characters>1232</Characters>
  <Lines>8</Lines>
  <Paragraphs>2</Paragraphs>
  <TotalTime>764</TotalTime>
  <ScaleCrop>false</ScaleCrop>
  <LinksUpToDate>false</LinksUpToDate>
  <CharactersWithSpaces>1248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2021-03-24T01:24:00Z</dcterms:created>
  <dc:creator>曾志生</dc:creator>
  <cp:lastModifiedBy>黄秉勋</cp:lastModifiedBy>
  <cp:lastPrinted>2024-07-03T08:18:00Z</cp:lastPrinted>
  <dcterms:modified xsi:type="dcterms:W3CDTF">2024-07-04T09:29:43Z</dcterms:modified>
  <cp:revision>138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BD16C16EDB284DEFBBFF892B9F77E2E2</vt:lpwstr>
  </property>
</Properties>
</file>