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ind w:firstLine="3373" w:firstLineChars="1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用户需求书</w:t>
      </w:r>
    </w:p>
    <w:p>
      <w:pPr>
        <w:pStyle w:val="24"/>
        <w:numPr>
          <w:ilvl w:val="0"/>
          <w:numId w:val="1"/>
        </w:numPr>
        <w:autoSpaceDE w:val="0"/>
        <w:autoSpaceDN w:val="0"/>
        <w:spacing w:after="156" w:afterLines="50" w:line="360" w:lineRule="auto"/>
        <w:ind w:firstLineChars="0"/>
        <w:outlineLvl w:val="1"/>
        <w:rPr>
          <w:rFonts w:cs="宋体" w:asciiTheme="minorEastAsia" w:hAnsiTheme="minorEastAsia"/>
          <w:b/>
          <w:szCs w:val="21"/>
        </w:rPr>
      </w:pPr>
      <w:r>
        <w:rPr>
          <w:rFonts w:hint="eastAsia" w:cs="宋体" w:asciiTheme="minorEastAsia" w:hAnsiTheme="minorEastAsia"/>
          <w:b/>
          <w:szCs w:val="21"/>
        </w:rPr>
        <w:t>项目内容及需求</w:t>
      </w:r>
    </w:p>
    <w:p>
      <w:pPr>
        <w:adjustRightInd w:val="0"/>
        <w:snapToGrid w:val="0"/>
        <w:ind w:left="422"/>
        <w:jc w:val="left"/>
        <w:outlineLvl w:val="1"/>
        <w:rPr>
          <w:rFonts w:asciiTheme="minorEastAsia" w:hAnsiTheme="minorEastAsia"/>
          <w:b/>
          <w:kern w:val="0"/>
          <w:szCs w:val="21"/>
        </w:rPr>
      </w:pPr>
      <w:bookmarkStart w:id="0" w:name="_Toc101951258"/>
      <w:bookmarkStart w:id="1" w:name="_Toc293932810"/>
      <w:bookmarkStart w:id="2" w:name="_Toc175644389"/>
      <w:r>
        <w:rPr>
          <w:rFonts w:hint="eastAsia" w:asciiTheme="minorEastAsia" w:hAnsiTheme="minorEastAsia"/>
          <w:b/>
          <w:kern w:val="0"/>
          <w:szCs w:val="21"/>
        </w:rPr>
        <w:t>一）、</w:t>
      </w:r>
      <w:bookmarkEnd w:id="0"/>
      <w:bookmarkEnd w:id="1"/>
      <w:bookmarkEnd w:id="2"/>
      <w:r>
        <w:rPr>
          <w:rFonts w:hint="eastAsia" w:asciiTheme="minorEastAsia" w:hAnsiTheme="minorEastAsia"/>
          <w:b/>
          <w:kern w:val="0"/>
          <w:szCs w:val="21"/>
        </w:rPr>
        <w:t>采购内容</w:t>
      </w:r>
    </w:p>
    <w:p>
      <w:pPr>
        <w:pStyle w:val="24"/>
        <w:adjustRightInd w:val="0"/>
        <w:snapToGrid w:val="0"/>
        <w:ind w:left="872" w:firstLine="0" w:firstLineChars="0"/>
        <w:jc w:val="left"/>
        <w:rPr>
          <w:rFonts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（一）广东省妇幼保健院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天河</w:t>
      </w:r>
      <w:r>
        <w:rPr>
          <w:rFonts w:hint="eastAsia" w:asciiTheme="minorEastAsia" w:hAnsiTheme="minorEastAsia"/>
          <w:kern w:val="0"/>
          <w:szCs w:val="21"/>
        </w:rPr>
        <w:t>院区现有乘客电梯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12</w:t>
      </w:r>
      <w:r>
        <w:rPr>
          <w:rFonts w:hint="eastAsia" w:asciiTheme="minorEastAsia" w:hAnsiTheme="minorEastAsia"/>
          <w:kern w:val="0"/>
          <w:szCs w:val="21"/>
        </w:rPr>
        <w:t>台。</w:t>
      </w:r>
    </w:p>
    <w:p>
      <w:pPr>
        <w:pStyle w:val="24"/>
        <w:adjustRightInd w:val="0"/>
        <w:snapToGrid w:val="0"/>
        <w:ind w:left="872" w:firstLine="0" w:firstLineChars="0"/>
        <w:jc w:val="left"/>
        <w:rPr>
          <w:rFonts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（二）维修保养服务期：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服务期一年，期满双方均无异议可续签一年</w:t>
      </w:r>
      <w:r>
        <w:rPr>
          <w:rFonts w:hint="eastAsia" w:asciiTheme="minorEastAsia" w:hAnsiTheme="minorEastAsia"/>
          <w:kern w:val="0"/>
          <w:szCs w:val="21"/>
        </w:rPr>
        <w:t>。</w:t>
      </w:r>
    </w:p>
    <w:p>
      <w:pPr>
        <w:pStyle w:val="24"/>
        <w:adjustRightInd w:val="0"/>
        <w:snapToGrid w:val="0"/>
        <w:ind w:left="872" w:firstLine="0" w:firstLineChars="0"/>
        <w:jc w:val="left"/>
        <w:rPr>
          <w:rFonts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（三）维保性质为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半</w:t>
      </w:r>
      <w:r>
        <w:rPr>
          <w:rFonts w:hint="eastAsia" w:asciiTheme="minorEastAsia" w:hAnsiTheme="minorEastAsia"/>
          <w:kern w:val="0"/>
          <w:szCs w:val="21"/>
        </w:rPr>
        <w:t>保</w:t>
      </w:r>
    </w:p>
    <w:p>
      <w:pPr>
        <w:pStyle w:val="24"/>
        <w:tabs>
          <w:tab w:val="left" w:pos="7703"/>
        </w:tabs>
        <w:adjustRightInd w:val="0"/>
        <w:snapToGrid w:val="0"/>
        <w:ind w:left="872" w:firstLine="0" w:firstLineChars="0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kern w:val="0"/>
          <w:szCs w:val="21"/>
        </w:rPr>
        <w:t>（四）地址：广州市</w:t>
      </w:r>
      <w:r>
        <w:rPr>
          <w:rFonts w:hint="eastAsia" w:asciiTheme="minorEastAsia" w:hAnsiTheme="minorEastAsia"/>
          <w:kern w:val="0"/>
          <w:szCs w:val="21"/>
          <w:lang w:val="en-US" w:eastAsia="zh-CN"/>
        </w:rPr>
        <w:t>天河区沙太南路163</w:t>
      </w:r>
      <w:r>
        <w:rPr>
          <w:rFonts w:hint="eastAsia" w:asciiTheme="minorEastAsia" w:hAnsiTheme="minorEastAsia"/>
          <w:kern w:val="0"/>
          <w:szCs w:val="21"/>
        </w:rPr>
        <w:t>号</w:t>
      </w:r>
      <w:r>
        <w:rPr>
          <w:rFonts w:asciiTheme="minorEastAsia" w:hAnsiTheme="minorEastAsia"/>
          <w:kern w:val="0"/>
          <w:szCs w:val="21"/>
        </w:rPr>
        <w:tab/>
      </w:r>
    </w:p>
    <w:p>
      <w:pPr>
        <w:pStyle w:val="24"/>
        <w:adjustRightInd w:val="0"/>
        <w:snapToGrid w:val="0"/>
        <w:ind w:left="872" w:firstLine="0" w:firstLineChars="0"/>
        <w:jc w:val="left"/>
        <w:rPr>
          <w:rFonts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（五）设备型号及规格（附表1）</w:t>
      </w:r>
    </w:p>
    <w:tbl>
      <w:tblPr>
        <w:tblStyle w:val="18"/>
        <w:tblW w:w="90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918"/>
        <w:gridCol w:w="1276"/>
        <w:gridCol w:w="1417"/>
        <w:gridCol w:w="1985"/>
        <w:gridCol w:w="1134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内部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安装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位置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使用证编号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电梯型号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层/站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制造单位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住院楼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072652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825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-C0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日立电梯（中国）有限公司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住院楼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72653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825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-C0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日立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住院楼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139506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B1600-2S90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日立电梯（中国）有限公司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住院楼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139505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1000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-C0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日立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门诊楼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139509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B2000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2S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日立电梯（中国）有限公司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门诊楼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139508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B2000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2S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日立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门诊楼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139507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LCA-10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0-C060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日立电梯（中国）有限公司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门诊楼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139510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cs="宋体" w:asciiTheme="minorEastAsia" w:hAnsiTheme="minorEastAsia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BGE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-1050-C060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日立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手术有影像中心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140103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cs="宋体" w:asciiTheme="minorEastAsia" w:hAnsiTheme="minorEastAsia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LCA-B1600-2S60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日立电梯（中国）有限公司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手术有影像中心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140102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LCA-B1600-2S60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日立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电梯有限公司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手术有影像中心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梯粤A500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45134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G.PIUS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广州广日电梯工业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cs="宋体" w:asciiTheme="minorEastAsia" w:hAnsiTheme="minorEastAsia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综合楼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曳引驱动乘客电梯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default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梯粤A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300103333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站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广州广日电梯工业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有限公司</w:t>
            </w:r>
          </w:p>
        </w:tc>
      </w:tr>
    </w:tbl>
    <w:p>
      <w:pPr>
        <w:pStyle w:val="32"/>
        <w:spacing w:line="360" w:lineRule="auto"/>
        <w:ind w:left="0" w:leftChars="0" w:firstLine="0" w:firstLineChars="0"/>
        <w:jc w:val="left"/>
        <w:rPr>
          <w:rFonts w:cs="宋体" w:asciiTheme="minorEastAsia" w:hAnsiTheme="minorEastAsia" w:eastAsiaTheme="minorEastAsia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注：上述描述均以现场实况为准，除特殊说明外，均视作按完好设备处理，不得存有其他异议。</w:t>
      </w:r>
    </w:p>
    <w:p>
      <w:pPr>
        <w:pStyle w:val="24"/>
        <w:numPr>
          <w:ilvl w:val="0"/>
          <w:numId w:val="1"/>
        </w:numPr>
        <w:spacing w:line="360" w:lineRule="auto"/>
        <w:ind w:left="142" w:hanging="142" w:firstLineChars="0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采购要求</w:t>
      </w:r>
    </w:p>
    <w:p>
      <w:pPr>
        <w:pStyle w:val="24"/>
        <w:numPr>
          <w:ilvl w:val="0"/>
          <w:numId w:val="2"/>
        </w:numPr>
        <w:spacing w:line="360" w:lineRule="auto"/>
        <w:ind w:left="0" w:firstLine="0" w:firstLineChars="0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维保服务范围及质量标准</w:t>
      </w:r>
      <w:r>
        <w:rPr>
          <w:rFonts w:hint="eastAsia"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>1、办理证照: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为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向政府部门申请办理上述电梯的整梯年审(每年1次)、限速器年审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(若合同期内若需年审)，取得检验合格证、使用登记证并按时交给</w:t>
      </w:r>
      <w:r>
        <w:rPr>
          <w:rFonts w:hint="eastAsia" w:cs="宋体" w:asciiTheme="minorEastAsia" w:hAnsiTheme="minorEastAsia"/>
          <w:color w:val="auto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，同时张贴检验标志</w:t>
      </w:r>
      <w:r>
        <w:rPr>
          <w:rFonts w:hint="eastAsia" w:cs="宋体" w:asciiTheme="minorEastAsia" w:hAnsiTheme="minorEastAsia"/>
          <w:color w:val="auto"/>
          <w:kern w:val="0"/>
          <w:szCs w:val="21"/>
          <w:lang w:eastAsia="zh-CN"/>
        </w:rPr>
        <w:t>，</w:t>
      </w:r>
      <w:r>
        <w:rPr>
          <w:rFonts w:hint="eastAsia" w:cs="宋体" w:asciiTheme="minorEastAsia" w:hAnsiTheme="minorEastAsia"/>
          <w:color w:val="auto"/>
          <w:kern w:val="0"/>
          <w:szCs w:val="21"/>
          <w:lang w:val="en-US" w:eastAsia="zh-CN"/>
        </w:rPr>
        <w:t>此项</w:t>
      </w:r>
      <w:bookmarkStart w:id="3" w:name="_GoBack"/>
      <w:bookmarkEnd w:id="3"/>
      <w:r>
        <w:rPr>
          <w:rFonts w:hint="eastAsia" w:cs="宋体" w:asciiTheme="minorEastAsia" w:hAnsiTheme="minorEastAsia"/>
          <w:color w:val="auto"/>
          <w:kern w:val="0"/>
          <w:szCs w:val="21"/>
          <w:lang w:val="en-US" w:eastAsia="zh-CN"/>
        </w:rPr>
        <w:t>电梯检验费由医院支付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。</w:t>
      </w:r>
      <w:r>
        <w:rPr>
          <w:rFonts w:hint="eastAsia" w:cs="宋体" w:asciiTheme="minorEastAsia" w:hAnsiTheme="minorEastAsia"/>
          <w:color w:val="FF0000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>2、巡检与保养: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按照国家《电梯日常维护保养规则》等相关法规，定期为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完成上述电梯的日常日检巡检、半月、月、季度、半年、年检查保养项目,并做好维护保养记录。</w:t>
      </w:r>
      <w:r>
        <w:rPr>
          <w:rFonts w:hint="eastAsia" w:cs="宋体" w:asciiTheme="minorEastAsia" w:hAnsiTheme="minorEastAsia"/>
          <w:kern w:val="0"/>
          <w:szCs w:val="21"/>
        </w:rPr>
        <w:br w:type="textWrapping"/>
      </w:r>
      <w:r>
        <w:rPr>
          <w:rFonts w:hint="eastAsia" w:cs="宋体" w:asciiTheme="minorEastAsia" w:hAnsiTheme="minorEastAsia"/>
          <w:kern w:val="0"/>
          <w:szCs w:val="21"/>
        </w:rPr>
        <w:t>3、故障维修: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按相关法律法规、行业标准为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维修上述电梯在合同期内出现的所有故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障，</w:t>
      </w:r>
      <w:r>
        <w:rPr>
          <w:rFonts w:hint="eastAsia" w:cs="宋体" w:asciiTheme="minorEastAsia" w:hAnsiTheme="minorEastAsia"/>
          <w:color w:val="auto"/>
          <w:kern w:val="0"/>
          <w:szCs w:val="21"/>
          <w:lang w:val="en-US" w:eastAsia="zh-CN"/>
        </w:rPr>
        <w:t>维修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所需的机电设备、零部(配)件</w:t>
      </w:r>
      <w:r>
        <w:rPr>
          <w:rFonts w:hint="eastAsia" w:cs="宋体" w:asciiTheme="minorEastAsia" w:hAnsiTheme="minorEastAsia"/>
          <w:color w:val="auto"/>
          <w:kern w:val="0"/>
          <w:szCs w:val="21"/>
          <w:lang w:val="en-US" w:eastAsia="zh-CN"/>
        </w:rPr>
        <w:t>由供应商提供</w:t>
      </w:r>
      <w:r>
        <w:rPr>
          <w:rFonts w:hint="eastAsia" w:asciiTheme="minorEastAsia" w:hAnsiTheme="minorEastAsia" w:eastAsiaTheme="minorEastAsia" w:cstheme="minorEastAsia"/>
          <w:color w:val="auto"/>
          <w:spacing w:val="20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pacing w:val="20"/>
          <w:szCs w:val="21"/>
          <w:lang w:val="en-US" w:eastAsia="zh-CN"/>
        </w:rPr>
        <w:t>供应商为所提供电梯配件的质量与安全负责，更换的配件由采购人按双方认可的市场价格支付给供应商，</w:t>
      </w:r>
      <w:r>
        <w:rPr>
          <w:rFonts w:hint="eastAsia" w:cs="宋体" w:asciiTheme="minorEastAsia" w:hAnsiTheme="minorEastAsia" w:eastAsiaTheme="minorEastAsia"/>
          <w:color w:val="auto"/>
          <w:kern w:val="0"/>
          <w:szCs w:val="21"/>
          <w:lang w:val="en-US" w:eastAsia="zh-CN"/>
        </w:rPr>
        <w:t>同时采购人有权组织电梯配件供应商进行市场询价后再进行采购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。</w:t>
      </w:r>
      <w:r>
        <w:rPr>
          <w:rFonts w:hint="eastAsia" w:cs="宋体" w:asciiTheme="minorEastAsia" w:hAnsiTheme="minorEastAsia"/>
          <w:color w:val="auto"/>
          <w:kern w:val="0"/>
          <w:szCs w:val="21"/>
          <w:lang w:val="en-US" w:eastAsia="zh-CN"/>
        </w:rPr>
        <w:t>供应商需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储备一定数量的零部件，以便快速有效解决故障。拆装、更换贵重零部件前需要向</w:t>
      </w:r>
      <w:r>
        <w:rPr>
          <w:rFonts w:hint="eastAsia" w:cs="宋体" w:asciiTheme="minorEastAsia" w:hAnsiTheme="minorEastAsia"/>
          <w:color w:val="auto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报备,经</w:t>
      </w:r>
      <w:r>
        <w:rPr>
          <w:rFonts w:hint="eastAsia" w:cs="宋体" w:asciiTheme="minorEastAsia" w:hAnsiTheme="minorEastAsia"/>
          <w:color w:val="auto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color w:val="auto"/>
          <w:kern w:val="0"/>
          <w:szCs w:val="21"/>
        </w:rPr>
        <w:t>同意后方可进行拆装</w:t>
      </w:r>
      <w:r>
        <w:rPr>
          <w:rFonts w:hint="eastAsia" w:cs="宋体" w:asciiTheme="minorEastAsia" w:hAnsiTheme="minorEastAsia"/>
          <w:kern w:val="0"/>
          <w:szCs w:val="21"/>
        </w:rPr>
        <w:t>;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前往监督或要求使用其他技术手段监督的，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需予接受。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更换的零部件必须是全新原厂正货(有出厂合格证)，不能用仿制品和维修翻新品取代，原装旧配件交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处理。</w:t>
      </w:r>
    </w:p>
    <w:p>
      <w:pPr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4、电梯保险: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为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电梯购买特种设备责任保险及其他商业保险，每次事故赔偿限额为不低于叁佰万元，其中人身伤害不低于贰佰万元、财产损失不低于壹佰万元(以当地可以购买的最高保障标准)，使医院职工、院外人员等所有乘员及维保人员均纳入保障范围。若出险，由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代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向保险公司报案、理赔。</w:t>
      </w:r>
    </w:p>
    <w:p>
      <w:pPr>
        <w:spacing w:line="360" w:lineRule="auto"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5</w:t>
      </w:r>
      <w:r>
        <w:rPr>
          <w:rFonts w:hint="eastAsia" w:cs="宋体" w:asciiTheme="minorEastAsia" w:hAnsiTheme="minorEastAsia"/>
          <w:kern w:val="0"/>
          <w:szCs w:val="21"/>
        </w:rPr>
        <w:t>、安全培训:为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员工、雇请人员、患者等提供安全培训;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提出</w:t>
      </w:r>
      <w:r>
        <w:rPr>
          <w:rFonts w:hint="eastAsia" w:cs="宋体" w:asciiTheme="minorEastAsia" w:hAnsiTheme="minorEastAsia"/>
          <w:color w:val="FF0000"/>
          <w:kern w:val="0"/>
          <w:szCs w:val="21"/>
          <w:lang w:val="en-US" w:eastAsia="zh-CN"/>
        </w:rPr>
        <w:t>4</w:t>
      </w:r>
      <w:r>
        <w:rPr>
          <w:rFonts w:hint="eastAsia" w:cs="宋体" w:asciiTheme="minorEastAsia" w:hAnsiTheme="minorEastAsia"/>
          <w:kern w:val="0"/>
          <w:szCs w:val="21"/>
        </w:rPr>
        <w:t>次以内的培训要求，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需予以安排。向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提供安全乘坐电梯的视频、海报、宣传贴纸，并协助张贴。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、档案与迎检</w:t>
      </w:r>
      <w:r>
        <w:rPr>
          <w:rFonts w:asciiTheme="minorEastAsia" w:hAnsiTheme="minorEastAsia"/>
          <w:szCs w:val="21"/>
        </w:rPr>
        <w:t>:</w:t>
      </w:r>
      <w:r>
        <w:rPr>
          <w:rFonts w:hint="eastAsia" w:asciiTheme="minorEastAsia" w:hAnsiTheme="minorEastAsia"/>
          <w:szCs w:val="21"/>
          <w:lang w:eastAsia="zh-CN"/>
        </w:rPr>
        <w:t>供应商</w:t>
      </w:r>
      <w:r>
        <w:rPr>
          <w:rFonts w:hint="eastAsia"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asciiTheme="minorEastAsia" w:hAnsiTheme="minorEastAsia"/>
          <w:szCs w:val="21"/>
        </w:rPr>
        <w:t>建立电梯基础档案，检测、年审、巡检、保养、维修等的档案，按行业及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asciiTheme="minorEastAsia" w:hAnsiTheme="minorEastAsia"/>
          <w:szCs w:val="21"/>
        </w:rPr>
        <w:t>相关要求整理、保存。指导及协助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asciiTheme="minorEastAsia" w:hAnsiTheme="minorEastAsia"/>
          <w:szCs w:val="21"/>
        </w:rPr>
        <w:t>完善电梯管理相关工作，共同迎接电梯相关的安全检查，</w:t>
      </w:r>
      <w:r>
        <w:rPr>
          <w:rFonts w:hint="eastAsia" w:asciiTheme="minorEastAsia" w:hAnsiTheme="minorEastAsia"/>
          <w:szCs w:val="21"/>
          <w:lang w:eastAsia="zh-CN"/>
        </w:rPr>
        <w:t>供应商</w:t>
      </w:r>
      <w:r>
        <w:rPr>
          <w:rFonts w:hint="eastAsia" w:asciiTheme="minorEastAsia" w:hAnsiTheme="minorEastAsia"/>
          <w:szCs w:val="21"/>
        </w:rPr>
        <w:t>按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asciiTheme="minorEastAsia" w:hAnsiTheme="minorEastAsia"/>
          <w:szCs w:val="21"/>
        </w:rPr>
        <w:t>要求认真填写各电梯日志记录表并由双方人员签名，确认，每次巡检、保养、维修均应有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asciiTheme="minorEastAsia" w:hAnsiTheme="minorEastAsia"/>
          <w:szCs w:val="21"/>
        </w:rPr>
        <w:t>人员现场签证，如出现电梯故障须立即报告</w:t>
      </w:r>
      <w:r>
        <w:rPr>
          <w:rFonts w:hint="eastAsia" w:asciiTheme="minorEastAsia" w:hAnsiTheme="minorEastAsia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并认真填写电梯故障维修记录表，每月上报一次设备运行报告及巡检、维修记录(均需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签证)，整合成册，作为支付保养费的依据之一。如遇重大检查、视察等活动，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需派专业人员到现场维护，以确保电梯的绝对正常。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7</w:t>
      </w:r>
      <w:r>
        <w:rPr>
          <w:rFonts w:hint="eastAsia" w:cs="宋体" w:asciiTheme="minorEastAsia" w:hAnsiTheme="minorEastAsia"/>
          <w:kern w:val="0"/>
          <w:szCs w:val="21"/>
        </w:rPr>
        <w:t>、效果要求: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应当按照最新发布的《中华人民共和国特种设备安全法》、《广东省特种设备安全条例》、《广东省电梯使用安全条例》、《广州市电梯安全管理办法》、《电梯使用管理与维护保养规则》(TSG T5001-2009)的规定完成半月维保、季度维保、半年维保、年度维保项目,并做好维护保养记录。实施日常维护保养后的电梯应当符合《电梯维修规范》( GB/T18775)、《电梯制造与安装安全规范》(GB 7588-2003) 的相关规定。经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维保的电梯，应当符合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具体使用要求，开机率大于95%。随时能通过监督部门的各项检查。</w:t>
      </w:r>
    </w:p>
    <w:p>
      <w:pPr>
        <w:spacing w:line="360" w:lineRule="auto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t>8</w:t>
      </w:r>
      <w:r>
        <w:rPr>
          <w:rFonts w:hint="eastAsia" w:cs="宋体" w:asciiTheme="minorEastAsia" w:hAnsiTheme="minorEastAsia"/>
          <w:kern w:val="0"/>
          <w:szCs w:val="21"/>
        </w:rPr>
        <w:t>、交接要求: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进场立即对所有易拆换的关键或贵重部件进行检查，若发现为非原厂配件，需由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认证后再拆卸，否则认可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采购人</w:t>
      </w:r>
      <w:r>
        <w:rPr>
          <w:rFonts w:hint="eastAsia" w:cs="宋体" w:asciiTheme="minorEastAsia" w:hAnsiTheme="minorEastAsia"/>
          <w:kern w:val="0"/>
          <w:szCs w:val="21"/>
        </w:rPr>
        <w:t>所交付的均为原厂配件。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供应商</w:t>
      </w:r>
      <w:r>
        <w:rPr>
          <w:rFonts w:hint="eastAsia" w:cs="宋体" w:asciiTheme="minorEastAsia" w:hAnsiTheme="minorEastAsia"/>
          <w:kern w:val="0"/>
          <w:szCs w:val="21"/>
        </w:rPr>
        <w:t>积极推进、进场一周内完成与上一家维保单位的交接，退场时积极配合下一家维保单位做好交接工作，保证电梯设备整体完好.完善,配合下一家维保单位完善关键或贵重部件的查验;移交工作未经签证，责任不转移。因进场接收延误导致上一家维保单位损失的，应赔偿其合理损失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二）</w:t>
      </w:r>
      <w:r>
        <w:rPr>
          <w:rFonts w:hint="eastAsia" w:asciiTheme="minorEastAsia" w:hAnsiTheme="minorEastAsia"/>
          <w:b/>
          <w:szCs w:val="21"/>
        </w:rPr>
        <w:t>考核标准</w:t>
      </w:r>
    </w:p>
    <w:p>
      <w:pPr>
        <w:adjustRightInd w:val="0"/>
        <w:snapToGrid w:val="0"/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1、每月末双方根据发生的电梯故障分析表，</w:t>
      </w:r>
      <w:r>
        <w:rPr>
          <w:rFonts w:hint="eastAsia" w:cs="宋体" w:asciiTheme="minorEastAsia" w:hAnsiTheme="minorEastAsia" w:eastAsiaTheme="minorEastAsia"/>
          <w:szCs w:val="21"/>
          <w:lang w:eastAsia="zh-CN"/>
        </w:rPr>
        <w:t>采购人</w:t>
      </w:r>
      <w:r>
        <w:rPr>
          <w:rFonts w:hint="eastAsia" w:cs="宋体" w:asciiTheme="minorEastAsia" w:hAnsiTheme="minorEastAsia" w:eastAsiaTheme="minorEastAsia"/>
          <w:szCs w:val="21"/>
        </w:rPr>
        <w:t>采取百分制对</w:t>
      </w:r>
      <w:r>
        <w:rPr>
          <w:rFonts w:hint="eastAsia" w:cs="宋体" w:asciiTheme="minorEastAsia" w:hAnsiTheme="minorEastAsia" w:eastAsiaTheme="minorEastAsia"/>
          <w:szCs w:val="21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szCs w:val="21"/>
        </w:rPr>
        <w:t>电梯维保质量作出总体考核评估，考核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标准见需求中附表二。</w:t>
      </w:r>
    </w:p>
    <w:p>
      <w:pPr>
        <w:adjustRightInd w:val="0"/>
        <w:snapToGrid w:val="0"/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auto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2、按满分100分，每月1次考核分值达85分以上（含85分），表示服务质量达标，全额支付当月维保费用；每月的累计扣分达到16分至25分，即考核分值84分至75分（含75分），每扣1分相应扣罚当月维保费用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00元，即扣罚维保费用为累计扣分×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00元，如扣18分即扣罚维保费用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18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00元；每月的累计扣分达到25分以上，即考核分值75分以下，每扣1分相应扣罚当月维保费用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00元，即扣罚维保费用为累计扣分×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00元，如扣30分即扣罚维保费用</w:t>
      </w:r>
      <w:r>
        <w:rPr>
          <w:rFonts w:hint="eastAsia" w:cs="宋体" w:asciiTheme="minorEastAsia" w:hAnsiTheme="minorEastAsia" w:eastAsiaTheme="minorEastAsia"/>
          <w:color w:val="auto"/>
          <w:szCs w:val="21"/>
          <w:lang w:val="en-US" w:eastAsia="zh-CN"/>
        </w:rPr>
        <w:t>3000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元；连续2个月考核评分值低于85分的医院有权解除合同，并没收履约保证金，由此造成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采购人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经济损失的，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应承担相应的经济责任。</w:t>
      </w:r>
    </w:p>
    <w:p>
      <w:pPr>
        <w:adjustRightInd w:val="0"/>
        <w:snapToGrid w:val="0"/>
        <w:spacing w:line="360" w:lineRule="auto"/>
        <w:ind w:firstLine="424" w:firstLineChars="202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color w:val="auto"/>
          <w:szCs w:val="21"/>
        </w:rPr>
        <w:t>3、若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未按本合同及时提供维修保养服务，每违反一次，应当向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采购人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支付违约金1000元。并且，因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（72小时内）未及时排除故障，</w:t>
      </w:r>
      <w:r>
        <w:rPr>
          <w:rFonts w:hint="eastAsia" w:cs="宋体" w:asciiTheme="minorEastAsia" w:hAnsiTheme="minorEastAsia" w:eastAsiaTheme="minorEastAsia"/>
          <w:color w:val="auto"/>
          <w:szCs w:val="21"/>
          <w:lang w:eastAsia="zh-CN"/>
        </w:rPr>
        <w:t>采购人</w:t>
      </w:r>
      <w:r>
        <w:rPr>
          <w:rFonts w:hint="eastAsia" w:cs="宋体" w:asciiTheme="minorEastAsia" w:hAnsiTheme="minorEastAsia" w:eastAsiaTheme="minorEastAsia"/>
          <w:color w:val="auto"/>
          <w:szCs w:val="21"/>
        </w:rPr>
        <w:t>有权选择第三方维修，因此产</w:t>
      </w:r>
      <w:r>
        <w:rPr>
          <w:rFonts w:hint="eastAsia" w:cs="宋体" w:asciiTheme="minorEastAsia" w:hAnsiTheme="minorEastAsia" w:eastAsiaTheme="minorEastAsia"/>
          <w:szCs w:val="21"/>
        </w:rPr>
        <w:t>生的费用由</w:t>
      </w:r>
      <w:r>
        <w:rPr>
          <w:rFonts w:hint="eastAsia" w:cs="宋体" w:asciiTheme="minorEastAsia" w:hAnsiTheme="minorEastAsia" w:eastAsiaTheme="minorEastAsia"/>
          <w:szCs w:val="21"/>
          <w:lang w:eastAsia="zh-CN"/>
        </w:rPr>
        <w:t>供应商</w:t>
      </w:r>
      <w:r>
        <w:rPr>
          <w:rFonts w:hint="eastAsia" w:cs="宋体" w:asciiTheme="minorEastAsia" w:hAnsiTheme="minorEastAsia" w:eastAsiaTheme="minorEastAsia"/>
          <w:szCs w:val="21"/>
        </w:rPr>
        <w:t>承担。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  <w:lang w:eastAsia="zh-TW"/>
        </w:rPr>
        <w:tab/>
      </w:r>
      <w:r>
        <w:rPr>
          <w:rFonts w:hint="eastAsia" w:asciiTheme="minorEastAsia" w:hAnsiTheme="minorEastAsia"/>
          <w:b/>
          <w:szCs w:val="21"/>
        </w:rPr>
        <w:t>附表2</w:t>
      </w:r>
      <w:r>
        <w:rPr>
          <w:rFonts w:hint="eastAsia" w:asciiTheme="minorEastAsia" w:hAnsiTheme="minorEastAsia"/>
          <w:szCs w:val="21"/>
        </w:rPr>
        <w:t>：</w:t>
      </w:r>
      <w:r>
        <w:rPr>
          <w:rFonts w:hint="eastAsia" w:asciiTheme="minorEastAsia" w:hAnsiTheme="minorEastAsia"/>
          <w:b/>
          <w:szCs w:val="21"/>
        </w:rPr>
        <w:t>电梯维保考核标准</w:t>
      </w:r>
    </w:p>
    <w:tbl>
      <w:tblPr>
        <w:tblStyle w:val="18"/>
        <w:tblW w:w="945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391"/>
        <w:gridCol w:w="5157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项目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ind w:firstLine="1365" w:firstLineChars="65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内容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扣分额</w:t>
            </w: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按每月统计计算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中标供应商工作完毕后并签订《电梯/扶梯维保报告书》电梯未能恢复运行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发生电梯故障困人《电梯停电，客户原因除外》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B类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维保过程中，因漏做保养项目而造成电梯故障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每次扣2分（困人扣2分）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维保过程中，工作不认真，造成电梯故障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对机械元件在变化情况下，没有及时作出检查，而造成故障发生（非人为损坏，非目测可判断老化除外）</w:t>
            </w:r>
          </w:p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对电器元件在损坏情况下，没有及时作出检查，而造成故障发生（非人为损坏，自然老化除外）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C类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在维保工作前、后未能向采购人相关管理部门通报。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接获困人故障通知后，未能于</w:t>
            </w:r>
            <w:r>
              <w:rPr>
                <w:rFonts w:asciiTheme="minorEastAsia" w:hAnsiTheme="minorEastAsia"/>
                <w:szCs w:val="21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分钟到达现场处理。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每次扣2分，并按合同扣除当月维保费10﹪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接获一般故障（困人故障除外）通知后，未能于6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分钟到达现场处理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每次扣1分，并按合同扣除当月维保费10﹪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D类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如在工作过程中，不慎损坏、破坏医院之设施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按价赔偿，并每次扣2分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发生电梯照明，楼层指示灯，按钮出现故障时，未能在接到通知后24小时内解决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如接获客方要求提供协助工作（在合同条款内容需协助工作范围内），但未能于1小时内安排人员到场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E类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着装不整齐，待人不礼貌引起客户投诉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维保时无设置围栏围闭及工作完毕无及时清理遗留垃圾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F类</w:t>
            </w: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已确定设备发生故障，但5天内无法确定引起故障的原因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已找到故障位置，但5天内无法确定引起故障的原因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5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无法从技术上判别客方所投诉的故障现象是误解还是虚报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每次扣1分</w:t>
            </w:r>
          </w:p>
        </w:tc>
      </w:tr>
    </w:tbl>
    <w:p>
      <w:pPr>
        <w:spacing w:after="240" w:line="360" w:lineRule="auto"/>
        <w:jc w:val="left"/>
        <w:rPr>
          <w:rFonts w:cs="宋体" w:asciiTheme="minorEastAsia" w:hAnsiTheme="minorEastAsia"/>
          <w:kern w:val="0"/>
          <w:szCs w:val="21"/>
        </w:rPr>
      </w:pPr>
    </w:p>
    <w:p>
      <w:pPr>
        <w:spacing w:after="240" w:line="360" w:lineRule="auto"/>
        <w:jc w:val="left"/>
        <w:rPr>
          <w:rFonts w:cs="宋体" w:asciiTheme="minorEastAsia" w:hAnsiTheme="minorEastAsia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三）保养详细内容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3013"/>
        <w:gridCol w:w="3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13" w:type="dxa"/>
          </w:tcPr>
          <w:p>
            <w:pPr>
              <w:spacing w:line="38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（一）日检</w:t>
            </w:r>
          </w:p>
          <w:p>
            <w:pPr>
              <w:pStyle w:val="32"/>
              <w:numPr>
                <w:ilvl w:val="0"/>
                <w:numId w:val="3"/>
              </w:numPr>
              <w:spacing w:line="380" w:lineRule="exact"/>
              <w:ind w:left="284" w:hanging="284" w:firstLineChars="0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直梯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运行情况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标志标识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门防夹装置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轿箱通风及照明设备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应急报警设备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层门状况</w:t>
            </w:r>
          </w:p>
          <w:p>
            <w:pPr>
              <w:pStyle w:val="32"/>
              <w:numPr>
                <w:ilvl w:val="0"/>
                <w:numId w:val="4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楼层显示及按钮</w:t>
            </w:r>
          </w:p>
          <w:p>
            <w:pPr>
              <w:pStyle w:val="32"/>
              <w:spacing w:line="380" w:lineRule="exact"/>
              <w:ind w:left="-2" w:leftChars="-1" w:firstLine="0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（二）半月检</w:t>
            </w:r>
          </w:p>
          <w:p>
            <w:pPr>
              <w:pStyle w:val="32"/>
              <w:spacing w:line="380" w:lineRule="exact"/>
              <w:ind w:left="-2" w:leftChars="-1" w:firstLine="0" w:firstLineChars="0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、直梯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机房、滑轮间环境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手动紧急操作装置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曳引机运行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制动器各销轴部位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制动器间隙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制动器作为轿厢意外移动保护装置制停子系统时的自监测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限速器和销轴部位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层门和轿门旁路装置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紧急电动运行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轿顶检修开关、急停开关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导靴上油杯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对重块及其压板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井道照明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轿箱照明、风扇、应急照明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轿箱检修开关、急停开关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轿箱内报警装置、对讲系统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轿内显示、指令按钮、</w:t>
            </w:r>
            <w:r>
              <w:rPr>
                <w:rFonts w:asciiTheme="minorEastAsia" w:hAnsiTheme="minorEastAsia" w:eastAsiaTheme="minorEastAsia"/>
                <w:szCs w:val="21"/>
              </w:rPr>
              <w:t>IC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卡系统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轿门安全装置（全安触板、光幕、光电等）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轿门门锁电气触点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轿门运行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轿箱平层精度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层站召呼、层数显示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层门地坎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层门自动关门装置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层门门锁自动复位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层门门电气触点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层门锁紧元件啮合长度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底坑环境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底坑急停开关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层门、轿门系统中传动钢丝绳、链条、胶带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层门门导靴磨损量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消防开关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耗能缓冲器电气安全装置功能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限速器张紧轮装置和电气安全装置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减速机涧滑油油量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除蜗杆伸出端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位置脉冲发生器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选层器动静触点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曳引轮槽、曳引钢丝绳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限速器轮槽、限速器钢丝绳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靴衬、滚轮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电动机与减速机联轴器螺栓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制动器上检测开关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控制柜内各接线端子接线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控制柜各仪表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井道、对重、轿顶各反绳轮轴承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曳引绳、补偿绳磨损量、断丝数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限速器钢丝绳磨损量、断丝数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曳引绳、补偿绳磨损量、断丝数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曳引绳头组合螺母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层门、轿门门扇各相关间隙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对重缓冲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上下极限开关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随行电缆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轿箱称重装置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安全钳钳座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轿底各安装螺栓</w:t>
            </w:r>
          </w:p>
          <w:p>
            <w:pPr>
              <w:pStyle w:val="32"/>
              <w:numPr>
                <w:ilvl w:val="0"/>
                <w:numId w:val="5"/>
              </w:numPr>
              <w:spacing w:line="380" w:lineRule="exact"/>
              <w:ind w:left="426" w:hanging="426" w:firstLineChars="0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缓冲器</w:t>
            </w:r>
          </w:p>
        </w:tc>
        <w:tc>
          <w:tcPr>
            <w:tcW w:w="3013" w:type="dxa"/>
          </w:tcPr>
          <w:p>
            <w:pPr>
              <w:pStyle w:val="32"/>
              <w:numPr>
                <w:ilvl w:val="0"/>
                <w:numId w:val="6"/>
              </w:numPr>
              <w:spacing w:line="240" w:lineRule="exact"/>
              <w:ind w:firstLine="0" w:firstLineChars="0"/>
              <w:rPr>
                <w:rFonts w:hint="eastAsia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季度检</w:t>
            </w:r>
          </w:p>
          <w:p>
            <w:pPr>
              <w:pStyle w:val="32"/>
              <w:numPr>
                <w:ilvl w:val="0"/>
                <w:numId w:val="0"/>
              </w:numPr>
              <w:spacing w:line="240" w:lineRule="exact"/>
              <w:rPr>
                <w:rFonts w:hint="eastAsia" w:asciiTheme="minorEastAsia" w:hAnsiTheme="minorEastAsia" w:eastAsiaTheme="minorEastAsia"/>
                <w:b/>
                <w:szCs w:val="21"/>
              </w:rPr>
            </w:pPr>
          </w:p>
          <w:p>
            <w:pPr>
              <w:pStyle w:val="32"/>
              <w:numPr>
                <w:ilvl w:val="0"/>
                <w:numId w:val="7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直梯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机房、清轮门环境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手动紧急操作装置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驱动主机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制动器各销与部位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制动器间隙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制动器作为轿厢意外移动保护装置制停子系统时的自监测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限速器各销轴部位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层门和轿门旁路装置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紧急电动运行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轿顶检修开关、停止装置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导靴上油杯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平衡重块及其压板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井道照明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轿厢照明、风扇、应急照明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轿箱检修开关、停止装置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轿内报警装置、对讲系统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轿内显示、指令按钮、</w:t>
            </w:r>
            <w:r>
              <w:rPr>
                <w:rFonts w:asciiTheme="minorEastAsia" w:hAnsiTheme="minorEastAsia" w:eastAsiaTheme="minorEastAsia"/>
                <w:szCs w:val="21"/>
              </w:rPr>
              <w:t>IC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卡系统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轿门防撞击保护装置（安全触板，光幕、光电等）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轿门门锁电气触点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轿门运行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轿厢平层准确度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层站召唤、层楼显示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层门地坎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层门自动关门装置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层门自锁自动复位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层门门锁电气触点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层门锁紧元件齿合长度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底坑环境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底坑停止装置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减速机润滑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制动衬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选层器动静点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曳引轮槽、悬挂装置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限速器轮槽、限速器钢丝绳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靴衬、滚轮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验证轿门关闭的电气安全装置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层门、轿门系统中传动钢丝绳、链条、传动带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层门门导靴置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消防开关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耗能缓冲器</w:t>
            </w:r>
          </w:p>
          <w:p>
            <w:pPr>
              <w:pStyle w:val="32"/>
              <w:numPr>
                <w:ilvl w:val="0"/>
                <w:numId w:val="8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限速器张紧轮装置和电气安全装置</w:t>
            </w:r>
          </w:p>
          <w:p>
            <w:pPr>
              <w:pStyle w:val="32"/>
              <w:spacing w:after="240" w:line="240" w:lineRule="exact"/>
              <w:ind w:left="-2" w:leftChars="-1" w:firstLine="0" w:firstLineChars="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（四）半年检</w:t>
            </w:r>
          </w:p>
          <w:p>
            <w:pPr>
              <w:pStyle w:val="32"/>
              <w:spacing w:after="240" w:line="240" w:lineRule="exact"/>
              <w:ind w:left="-2" w:leftChars="-1" w:firstLine="1" w:firstLineChars="0"/>
              <w:jc w:val="left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、直梯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机房、清轮门环境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手动紧急操作装置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驱动主机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制动器各销与部位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制动器间隙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制动器作为轿厢意外移动保护装置制停子系统时的自监测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限速器各销轴部位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层门和轿门旁路装置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紧急电动运行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轿顶检修开关、停止装置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导靴上油杯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平衡重块及其压板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井道照明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轿厢照明、风扇、应急照明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轿箱检修开关、停止装置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轿内报警装置、对讲系统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轿内显示、指令按钮、</w:t>
            </w:r>
            <w:r>
              <w:rPr>
                <w:rFonts w:asciiTheme="minorEastAsia" w:hAnsiTheme="minorEastAsia" w:eastAsiaTheme="minorEastAsia"/>
                <w:szCs w:val="21"/>
              </w:rPr>
              <w:t>IC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卡系统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轿门防撞击保护装置（安全触板，光幕、光电等）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轿门门锁电气触点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轿门运行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轿厢平层准确度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层站召唤、层楼显示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层门地坎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层门自动关门装置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层门自锁自动复位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层门门锁电气触点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层门锁紧元件齿合长度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底坑环境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底坑停止装置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减速机润滑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制动衬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选层器动静点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曳引轮槽、悬挂装置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限速器轮槽、限速器钢丝绳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靴衬、滚轮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验证轿门关闭的电气安全装置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层门、轿门系统中传动钢丝绳、链条、传动带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层门门导靴置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消防开关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耗能缓冲器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限速器张紧轮装置和电气安全装置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电动机与减速机联轴器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驱动轮、导向轮轴承部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制动器动作状态监测装置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控制柜内各接线端子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控制柜各仪表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井道、对重、轿顶各反绳轮轴承部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悬挂装置、补偿绳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绳头组合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限速器钢丝绳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层门、轿门门扇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轿门开门限制装置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对重缓冲距离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补偿链（绳）与轿厢、对重结合处</w:t>
            </w:r>
          </w:p>
          <w:p>
            <w:pPr>
              <w:pStyle w:val="32"/>
              <w:numPr>
                <w:ilvl w:val="0"/>
                <w:numId w:val="9"/>
              </w:numPr>
              <w:spacing w:after="240" w:line="240" w:lineRule="exact"/>
              <w:ind w:left="426" w:hanging="426" w:firstLineChars="0"/>
              <w:jc w:val="left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上、下极限开关</w:t>
            </w:r>
          </w:p>
        </w:tc>
        <w:tc>
          <w:tcPr>
            <w:tcW w:w="3013" w:type="dxa"/>
          </w:tcPr>
          <w:p>
            <w:pPr>
              <w:pStyle w:val="32"/>
              <w:spacing w:after="240"/>
              <w:ind w:firstLine="0" w:firstLineChars="0"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（五）年度检</w:t>
            </w:r>
          </w:p>
          <w:p>
            <w:pPr>
              <w:spacing w:after="240" w:line="240" w:lineRule="exact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szCs w:val="21"/>
              </w:rPr>
              <w:t>、直梯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机房、清轮门环境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手动紧急操作装置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驱动主机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制动器各销与部位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制动器间隙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制动器作为轿厢意外移动保护装置制停子系统时的自监测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限速器各销轴部位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层门和轿门旁路装置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紧急电动运行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轿顶检修开关、停止装置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导靴上油杯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平衡重块及其压板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井道照明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轿厢照明、风扇、应急照明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轿箱检修开关、停止装置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轿内报警装置、对讲系统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轿内显示、指令按钮、</w:t>
            </w:r>
            <w:r>
              <w:rPr>
                <w:rFonts w:asciiTheme="minorEastAsia" w:hAnsiTheme="minorEastAsia" w:eastAsiaTheme="minorEastAsia"/>
                <w:szCs w:val="21"/>
              </w:rPr>
              <w:t>IC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卡系统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轿门防撞击保护装置（安全触板，光幕、光电等）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轿门门锁电气触点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轿门运行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轿厢平层准确度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层站召唤、层楼显示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层门地坎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层门自动关门装置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层门自锁自动复位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层门门锁电气触点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层门锁紧元件齿合长度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底坑环境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底坑停止装置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减速机润滑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制动衬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编码器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选层器动静点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曳引轮槽、悬挂装置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限速器轮槽、限速器钢丝绳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靴衬、滚轮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验证轿门关闭的电气安全装置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层门、轿门系统中传动钢丝绳、链条、传动带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层门门导靴置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消防开关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耗能缓冲器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限速器张紧轮装置和电气安全装置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电动机与减速机联轴器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驱动轮、导向轮轴承部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曳引轮槽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制动器动作状态监测装置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控制柜内各接线端子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控制柜各仪表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井道、对重、轿顶各反绳轮轴承部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悬挂装置、补偿绳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绳头组合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限速器钢丝绳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层门、轿门门扇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轿门开门限制装置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对重缓冲距离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补偿链（绳）与轿厢、对重结合处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上、下极限开关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减速机润滑油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控制柜接触器、继电器触点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制动器铁芯（柱塞）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制动器制动能力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导电回路绝缘性能测试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限速器安全钳联动试验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上行超速保护装置动作试验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轿厢意外移动保护装置动作试验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轿顶、轿厢架、轿门及其附件安装螺栓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轿厢和对重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平衡重的导轨支架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轿厢和对重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平衡重的导轨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随行电缆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层门装置和地坎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轿厢称重装置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安全钳钳座</w:t>
            </w:r>
          </w:p>
          <w:p>
            <w:pPr>
              <w:pStyle w:val="32"/>
              <w:numPr>
                <w:ilvl w:val="0"/>
                <w:numId w:val="10"/>
              </w:numPr>
              <w:spacing w:after="240" w:line="240" w:lineRule="exact"/>
              <w:ind w:left="426" w:hanging="426" w:firstLineChars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轿底各安装螺栓</w:t>
            </w:r>
          </w:p>
          <w:p>
            <w:pPr>
              <w:spacing w:after="240" w:line="240" w:lineRule="exact"/>
              <w:jc w:val="left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3"/>
          </w:tcPr>
          <w:p>
            <w:pPr>
              <w:spacing w:after="240" w:line="380" w:lineRule="exact"/>
              <w:jc w:val="left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ab/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注：上述保养详细内容均为电梯常规保养内容，但不局限于按实际情况增加内容，常规保养内容不得删减。</w:t>
            </w:r>
          </w:p>
        </w:tc>
      </w:tr>
    </w:tbl>
    <w:p>
      <w:pPr>
        <w:spacing w:after="240" w:line="360" w:lineRule="auto"/>
        <w:jc w:val="left"/>
        <w:rPr>
          <w:rFonts w:cs="宋体" w:asciiTheme="minorEastAsia" w:hAnsiTheme="minorEastAsia"/>
          <w:b/>
          <w:kern w:val="0"/>
          <w:szCs w:val="21"/>
        </w:rPr>
      </w:pPr>
    </w:p>
    <w:sectPr>
      <w:footerReference r:id="rId3" w:type="default"/>
      <w:pgSz w:w="11906" w:h="17338"/>
      <w:pgMar w:top="1291" w:right="1456" w:bottom="943" w:left="1627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7BE5A9"/>
    <w:multiLevelType w:val="singleLevel"/>
    <w:tmpl w:val="987BE5A9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FAB24FB"/>
    <w:multiLevelType w:val="multilevel"/>
    <w:tmpl w:val="1FAB24FB"/>
    <w:lvl w:ilvl="0" w:tentative="0">
      <w:start w:val="1"/>
      <w:numFmt w:val="decimal"/>
      <w:lvlText w:val="%1)"/>
      <w:lvlJc w:val="left"/>
      <w:pPr>
        <w:ind w:left="1260" w:hanging="42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227B76A6"/>
    <w:multiLevelType w:val="multilevel"/>
    <w:tmpl w:val="227B76A6"/>
    <w:lvl w:ilvl="0" w:tentative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abstractNum w:abstractNumId="3">
    <w:nsid w:val="26913E5A"/>
    <w:multiLevelType w:val="multilevel"/>
    <w:tmpl w:val="26913E5A"/>
    <w:lvl w:ilvl="0" w:tentative="0">
      <w:start w:val="2"/>
      <w:numFmt w:val="decimal"/>
      <w:lvlText w:val="%1、"/>
      <w:lvlJc w:val="left"/>
      <w:pPr>
        <w:ind w:left="1200" w:hanging="360"/>
      </w:pPr>
    </w:lvl>
    <w:lvl w:ilvl="1" w:tentative="0">
      <w:start w:val="1"/>
      <w:numFmt w:val="decimal"/>
      <w:lvlText w:val="%2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3598425A"/>
    <w:multiLevelType w:val="multilevel"/>
    <w:tmpl w:val="3598425A"/>
    <w:lvl w:ilvl="0" w:tentative="0">
      <w:start w:val="2"/>
      <w:numFmt w:val="decimal"/>
      <w:lvlText w:val="%1、"/>
      <w:lvlJc w:val="left"/>
      <w:pPr>
        <w:ind w:left="720" w:hanging="360"/>
      </w:pPr>
      <w:rPr>
        <w:rFonts w:hint="eastAsia" w:ascii="宋体" w:hAnsi="宋体" w:eastAsia="宋体" w:cs="宋体"/>
        <w:sz w:val="24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0064B05"/>
    <w:multiLevelType w:val="multilevel"/>
    <w:tmpl w:val="50064B05"/>
    <w:lvl w:ilvl="0" w:tentative="0">
      <w:start w:val="1"/>
      <w:numFmt w:val="decimal"/>
      <w:lvlText w:val="%1)"/>
      <w:lvlJc w:val="left"/>
      <w:pPr>
        <w:ind w:left="1200" w:hanging="360"/>
      </w:p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5BB0450C"/>
    <w:multiLevelType w:val="multilevel"/>
    <w:tmpl w:val="5BB0450C"/>
    <w:lvl w:ilvl="0" w:tentative="0">
      <w:start w:val="1"/>
      <w:numFmt w:val="decimal"/>
      <w:lvlText w:val="%1)"/>
      <w:lvlJc w:val="left"/>
      <w:pPr>
        <w:ind w:left="1070" w:hanging="360"/>
      </w:pPr>
    </w:lvl>
    <w:lvl w:ilvl="1" w:tentative="0">
      <w:start w:val="1"/>
      <w:numFmt w:val="lowerLetter"/>
      <w:lvlText w:val="%2)"/>
      <w:lvlJc w:val="left"/>
      <w:pPr>
        <w:ind w:left="1550" w:hanging="420"/>
      </w:pPr>
    </w:lvl>
    <w:lvl w:ilvl="2" w:tentative="0">
      <w:start w:val="1"/>
      <w:numFmt w:val="lowerRoman"/>
      <w:lvlText w:val="%3."/>
      <w:lvlJc w:val="right"/>
      <w:pPr>
        <w:ind w:left="1970" w:hanging="420"/>
      </w:pPr>
    </w:lvl>
    <w:lvl w:ilvl="3" w:tentative="0">
      <w:start w:val="1"/>
      <w:numFmt w:val="decimal"/>
      <w:lvlText w:val="%4."/>
      <w:lvlJc w:val="left"/>
      <w:pPr>
        <w:ind w:left="2390" w:hanging="420"/>
      </w:pPr>
    </w:lvl>
    <w:lvl w:ilvl="4" w:tentative="0">
      <w:start w:val="1"/>
      <w:numFmt w:val="lowerLetter"/>
      <w:lvlText w:val="%5)"/>
      <w:lvlJc w:val="left"/>
      <w:pPr>
        <w:ind w:left="2810" w:hanging="420"/>
      </w:pPr>
    </w:lvl>
    <w:lvl w:ilvl="5" w:tentative="0">
      <w:start w:val="1"/>
      <w:numFmt w:val="lowerRoman"/>
      <w:lvlText w:val="%6."/>
      <w:lvlJc w:val="right"/>
      <w:pPr>
        <w:ind w:left="3230" w:hanging="420"/>
      </w:pPr>
    </w:lvl>
    <w:lvl w:ilvl="6" w:tentative="0">
      <w:start w:val="1"/>
      <w:numFmt w:val="decimal"/>
      <w:lvlText w:val="%7."/>
      <w:lvlJc w:val="left"/>
      <w:pPr>
        <w:ind w:left="3650" w:hanging="420"/>
      </w:pPr>
    </w:lvl>
    <w:lvl w:ilvl="7" w:tentative="0">
      <w:start w:val="1"/>
      <w:numFmt w:val="lowerLetter"/>
      <w:lvlText w:val="%8)"/>
      <w:lvlJc w:val="left"/>
      <w:pPr>
        <w:ind w:left="4070" w:hanging="420"/>
      </w:pPr>
    </w:lvl>
    <w:lvl w:ilvl="8" w:tentative="0">
      <w:start w:val="1"/>
      <w:numFmt w:val="lowerRoman"/>
      <w:lvlText w:val="%9."/>
      <w:lvlJc w:val="right"/>
      <w:pPr>
        <w:ind w:left="4490" w:hanging="420"/>
      </w:pPr>
    </w:lvl>
  </w:abstractNum>
  <w:abstractNum w:abstractNumId="7">
    <w:nsid w:val="5D1251C1"/>
    <w:multiLevelType w:val="multilevel"/>
    <w:tmpl w:val="5D1251C1"/>
    <w:lvl w:ilvl="0" w:tentative="0">
      <w:start w:val="1"/>
      <w:numFmt w:val="decimal"/>
      <w:lvlText w:val="%1)"/>
      <w:lvlJc w:val="left"/>
      <w:pPr>
        <w:ind w:left="1140" w:hanging="360"/>
      </w:p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64817CE0"/>
    <w:multiLevelType w:val="multilevel"/>
    <w:tmpl w:val="64817CE0"/>
    <w:lvl w:ilvl="0" w:tentative="0">
      <w:start w:val="1"/>
      <w:numFmt w:val="japaneseCounting"/>
      <w:lvlText w:val="%1）"/>
      <w:lvlJc w:val="left"/>
      <w:pPr>
        <w:ind w:left="450" w:hanging="4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9925631"/>
    <w:multiLevelType w:val="multilevel"/>
    <w:tmpl w:val="69925631"/>
    <w:lvl w:ilvl="0" w:tentative="0">
      <w:start w:val="1"/>
      <w:numFmt w:val="decimal"/>
      <w:lvlText w:val="%1)"/>
      <w:lvlJc w:val="left"/>
      <w:pPr>
        <w:ind w:left="928" w:hanging="360"/>
      </w:pPr>
    </w:lvl>
    <w:lvl w:ilvl="1" w:tentative="0">
      <w:start w:val="1"/>
      <w:numFmt w:val="lowerLetter"/>
      <w:lvlText w:val="%2)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2"/>
  </w:num>
  <w:num w:numId="2">
    <w:abstractNumId w:val="8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03F00"/>
    <w:rsid w:val="00114FB1"/>
    <w:rsid w:val="0015092B"/>
    <w:rsid w:val="00172A27"/>
    <w:rsid w:val="001D3070"/>
    <w:rsid w:val="001E0E07"/>
    <w:rsid w:val="00341740"/>
    <w:rsid w:val="00481A96"/>
    <w:rsid w:val="00571D33"/>
    <w:rsid w:val="00574BF5"/>
    <w:rsid w:val="00596A09"/>
    <w:rsid w:val="005A09CB"/>
    <w:rsid w:val="00652777"/>
    <w:rsid w:val="007A44E4"/>
    <w:rsid w:val="007A682F"/>
    <w:rsid w:val="007C46F1"/>
    <w:rsid w:val="007F77C5"/>
    <w:rsid w:val="008B0681"/>
    <w:rsid w:val="008E67E1"/>
    <w:rsid w:val="00945F36"/>
    <w:rsid w:val="00961F1F"/>
    <w:rsid w:val="0099193F"/>
    <w:rsid w:val="00A900CE"/>
    <w:rsid w:val="00AA2951"/>
    <w:rsid w:val="00BC26CD"/>
    <w:rsid w:val="00C24DA3"/>
    <w:rsid w:val="00C570E4"/>
    <w:rsid w:val="00D026AF"/>
    <w:rsid w:val="00DB7D38"/>
    <w:rsid w:val="00EB39B0"/>
    <w:rsid w:val="00EF6885"/>
    <w:rsid w:val="00F73809"/>
    <w:rsid w:val="00F76F3B"/>
    <w:rsid w:val="018653EA"/>
    <w:rsid w:val="01C217E5"/>
    <w:rsid w:val="01DE6EEB"/>
    <w:rsid w:val="03B03A2F"/>
    <w:rsid w:val="042D40B7"/>
    <w:rsid w:val="05091B59"/>
    <w:rsid w:val="068B7AFA"/>
    <w:rsid w:val="06CA3863"/>
    <w:rsid w:val="07661763"/>
    <w:rsid w:val="079B6207"/>
    <w:rsid w:val="07A00382"/>
    <w:rsid w:val="0838266A"/>
    <w:rsid w:val="085515D6"/>
    <w:rsid w:val="09112A29"/>
    <w:rsid w:val="09B9275C"/>
    <w:rsid w:val="0C6E46DA"/>
    <w:rsid w:val="0D63250B"/>
    <w:rsid w:val="0E436DBA"/>
    <w:rsid w:val="0FFA64B1"/>
    <w:rsid w:val="10C3487C"/>
    <w:rsid w:val="11A936D4"/>
    <w:rsid w:val="11F04FEF"/>
    <w:rsid w:val="12F168E0"/>
    <w:rsid w:val="1354161D"/>
    <w:rsid w:val="13A2064C"/>
    <w:rsid w:val="15BB29CF"/>
    <w:rsid w:val="17B876D5"/>
    <w:rsid w:val="17F42A51"/>
    <w:rsid w:val="188D6A31"/>
    <w:rsid w:val="18EF127B"/>
    <w:rsid w:val="194B3551"/>
    <w:rsid w:val="1A2377AC"/>
    <w:rsid w:val="1B5D50AC"/>
    <w:rsid w:val="1C571606"/>
    <w:rsid w:val="1CA82A87"/>
    <w:rsid w:val="1CF0480D"/>
    <w:rsid w:val="1F67609A"/>
    <w:rsid w:val="20B43D55"/>
    <w:rsid w:val="2116771E"/>
    <w:rsid w:val="22D93F46"/>
    <w:rsid w:val="251B089E"/>
    <w:rsid w:val="259921FA"/>
    <w:rsid w:val="25E85BF6"/>
    <w:rsid w:val="265921DD"/>
    <w:rsid w:val="28444ADA"/>
    <w:rsid w:val="28DF1025"/>
    <w:rsid w:val="29A929F1"/>
    <w:rsid w:val="2A2669E2"/>
    <w:rsid w:val="2A9D6B34"/>
    <w:rsid w:val="2B876C79"/>
    <w:rsid w:val="2C6C19D4"/>
    <w:rsid w:val="2E3A39D2"/>
    <w:rsid w:val="2FB30455"/>
    <w:rsid w:val="31616681"/>
    <w:rsid w:val="319C2F4E"/>
    <w:rsid w:val="3275765A"/>
    <w:rsid w:val="337A3A8B"/>
    <w:rsid w:val="34563F64"/>
    <w:rsid w:val="37A26134"/>
    <w:rsid w:val="382C32C6"/>
    <w:rsid w:val="39661D24"/>
    <w:rsid w:val="396D1829"/>
    <w:rsid w:val="39F84A31"/>
    <w:rsid w:val="3A64042B"/>
    <w:rsid w:val="3CAC34A6"/>
    <w:rsid w:val="3E1D4930"/>
    <w:rsid w:val="3F6933ED"/>
    <w:rsid w:val="41F52A3D"/>
    <w:rsid w:val="43197440"/>
    <w:rsid w:val="432162AE"/>
    <w:rsid w:val="43914C8F"/>
    <w:rsid w:val="43DD7B22"/>
    <w:rsid w:val="446A2C03"/>
    <w:rsid w:val="451D186E"/>
    <w:rsid w:val="46313BD2"/>
    <w:rsid w:val="46B53D0D"/>
    <w:rsid w:val="46D255A1"/>
    <w:rsid w:val="46E918F6"/>
    <w:rsid w:val="47C81C07"/>
    <w:rsid w:val="48EB6BAF"/>
    <w:rsid w:val="49C87EFC"/>
    <w:rsid w:val="4A476E6E"/>
    <w:rsid w:val="4B706E9A"/>
    <w:rsid w:val="4BA716E7"/>
    <w:rsid w:val="4CAA6FD5"/>
    <w:rsid w:val="4D1857EA"/>
    <w:rsid w:val="4F064E9B"/>
    <w:rsid w:val="50536260"/>
    <w:rsid w:val="506F7B14"/>
    <w:rsid w:val="5184559A"/>
    <w:rsid w:val="51C93E27"/>
    <w:rsid w:val="53200786"/>
    <w:rsid w:val="54D0056B"/>
    <w:rsid w:val="551707A3"/>
    <w:rsid w:val="552830AF"/>
    <w:rsid w:val="58BC6FA1"/>
    <w:rsid w:val="59070CBD"/>
    <w:rsid w:val="594C6946"/>
    <w:rsid w:val="59835006"/>
    <w:rsid w:val="5DB70170"/>
    <w:rsid w:val="5E4C0FBF"/>
    <w:rsid w:val="5F6B3717"/>
    <w:rsid w:val="60BB694D"/>
    <w:rsid w:val="61246325"/>
    <w:rsid w:val="61452C8A"/>
    <w:rsid w:val="61B91C46"/>
    <w:rsid w:val="61D4705B"/>
    <w:rsid w:val="633A7582"/>
    <w:rsid w:val="660D3F55"/>
    <w:rsid w:val="6A430FF8"/>
    <w:rsid w:val="6A7437A0"/>
    <w:rsid w:val="6C914739"/>
    <w:rsid w:val="6C9156B4"/>
    <w:rsid w:val="6E793DEF"/>
    <w:rsid w:val="6EB62FDC"/>
    <w:rsid w:val="6ECD19C5"/>
    <w:rsid w:val="6F93409B"/>
    <w:rsid w:val="703B7BD3"/>
    <w:rsid w:val="7047031F"/>
    <w:rsid w:val="704E4DFC"/>
    <w:rsid w:val="72DE37E6"/>
    <w:rsid w:val="743946F2"/>
    <w:rsid w:val="750C0A46"/>
    <w:rsid w:val="76490FE7"/>
    <w:rsid w:val="773B0223"/>
    <w:rsid w:val="77757CA4"/>
    <w:rsid w:val="77D520F3"/>
    <w:rsid w:val="788756D8"/>
    <w:rsid w:val="7902034D"/>
    <w:rsid w:val="799E7823"/>
    <w:rsid w:val="79C63D43"/>
    <w:rsid w:val="7AF2009F"/>
    <w:rsid w:val="7B2844A1"/>
    <w:rsid w:val="7EE8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name="header"/>
    <w:lsdException w:qFormat="1" w:uiPriority="99" w:semiHidden="0" w:name="footer"/>
    <w:lsdException w:qFormat="1" w:uiPriority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semiHidden/>
    <w:unhideWhenUsed/>
    <w:qFormat/>
    <w:uiPriority w:val="0"/>
    <w:pPr>
      <w:ind w:firstLine="420"/>
    </w:pPr>
  </w:style>
  <w:style w:type="paragraph" w:styleId="7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8">
    <w:name w:val="Body Text 3"/>
    <w:basedOn w:val="1"/>
    <w:semiHidden/>
    <w:unhideWhenUsed/>
    <w:qFormat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9">
    <w:name w:val="Body Text"/>
    <w:basedOn w:val="1"/>
    <w:semiHidden/>
    <w:unhideWhenUsed/>
    <w:qFormat/>
    <w:uiPriority w:val="0"/>
    <w:pPr>
      <w:spacing w:line="360" w:lineRule="auto"/>
    </w:pPr>
  </w:style>
  <w:style w:type="paragraph" w:styleId="10">
    <w:name w:val="Body Text Indent"/>
    <w:basedOn w:val="1"/>
    <w:semiHidden/>
    <w:unhideWhenUsed/>
    <w:qFormat/>
    <w:uiPriority w:val="0"/>
    <w:pPr>
      <w:ind w:firstLine="830" w:firstLineChars="352"/>
    </w:pPr>
    <w:rPr>
      <w:rFonts w:ascii="仿宋_GB2312" w:eastAsia="仿宋_GB2312"/>
      <w:kern w:val="0"/>
      <w:sz w:val="32"/>
    </w:rPr>
  </w:style>
  <w:style w:type="paragraph" w:styleId="11">
    <w:name w:val="Plain Text"/>
    <w:basedOn w:val="1"/>
    <w:unhideWhenUsed/>
    <w:qFormat/>
    <w:uiPriority w:val="0"/>
    <w:rPr>
      <w:rFonts w:ascii="宋体" w:hAnsi="Courier New"/>
      <w:kern w:val="0"/>
      <w:sz w:val="20"/>
      <w:szCs w:val="21"/>
    </w:r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index heading"/>
    <w:basedOn w:val="1"/>
    <w:next w:val="16"/>
    <w:semiHidden/>
    <w:unhideWhenUsed/>
    <w:qFormat/>
    <w:uiPriority w:val="0"/>
    <w:rPr>
      <w:rFonts w:ascii="Times New Roman" w:hAnsi="Times New Roman"/>
    </w:rPr>
  </w:style>
  <w:style w:type="paragraph" w:styleId="16">
    <w:name w:val="index 1"/>
    <w:basedOn w:val="1"/>
    <w:next w:val="1"/>
    <w:semiHidden/>
    <w:unhideWhenUsed/>
    <w:qFormat/>
    <w:uiPriority w:val="0"/>
    <w:pPr>
      <w:tabs>
        <w:tab w:val="left" w:pos="7740"/>
      </w:tabs>
      <w:jc w:val="center"/>
    </w:pPr>
    <w:rPr>
      <w:rFonts w:ascii="仿宋" w:hAnsi="仿宋" w:eastAsia="仿宋"/>
      <w:b/>
      <w:sz w:val="28"/>
      <w:szCs w:val="28"/>
    </w:rPr>
  </w:style>
  <w:style w:type="paragraph" w:styleId="1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19">
    <w:name w:val="Table Grid"/>
    <w:basedOn w:val="1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qFormat/>
    <w:uiPriority w:val="22"/>
    <w:rPr>
      <w:rFonts w:hint="default" w:ascii="Tahoma" w:hAnsi="Tahoma" w:eastAsia="宋体" w:cs="Tahoma"/>
      <w:b/>
      <w:bCs/>
      <w:spacing w:val="10"/>
      <w:sz w:val="24"/>
      <w:lang w:val="en-US" w:eastAsia="zh-CN" w:bidi="ar-SA"/>
    </w:rPr>
  </w:style>
  <w:style w:type="character" w:styleId="22">
    <w:name w:val="page number"/>
    <w:basedOn w:val="20"/>
    <w:qFormat/>
    <w:uiPriority w:val="0"/>
  </w:style>
  <w:style w:type="paragraph" w:customStyle="1" w:styleId="23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xl25"/>
    <w:basedOn w:val="1"/>
    <w:qFormat/>
    <w:uiPriority w:val="0"/>
    <w:pPr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26">
    <w:name w:val="表格文字"/>
    <w:basedOn w:val="1"/>
    <w:qFormat/>
    <w:uiPriority w:val="0"/>
    <w:pPr>
      <w:spacing w:before="25" w:after="25"/>
      <w:jc w:val="left"/>
    </w:pPr>
    <w:rPr>
      <w:rFonts w:ascii="Times New Roman" w:hAnsi="Times New Roman"/>
      <w:bCs/>
      <w:spacing w:val="10"/>
      <w:kern w:val="0"/>
      <w:sz w:val="24"/>
    </w:rPr>
  </w:style>
  <w:style w:type="paragraph" w:customStyle="1" w:styleId="27">
    <w:name w:val="题注4"/>
    <w:basedOn w:val="1"/>
    <w:next w:val="7"/>
    <w:qFormat/>
    <w:uiPriority w:val="0"/>
    <w:pPr>
      <w:ind w:left="-132" w:leftChars="-64" w:right="-105" w:rightChars="-50" w:hanging="2"/>
      <w:jc w:val="center"/>
    </w:pPr>
    <w:rPr>
      <w:rFonts w:ascii="Times New Roman" w:hAnsi="Times New Roman"/>
      <w:b/>
      <w:color w:val="FF0000"/>
      <w:szCs w:val="21"/>
      <w:lang w:val="en-GB"/>
    </w:rPr>
  </w:style>
  <w:style w:type="paragraph" w:customStyle="1" w:styleId="28">
    <w:name w:val="图"/>
    <w:basedOn w:val="1"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</w:rPr>
  </w:style>
  <w:style w:type="paragraph" w:customStyle="1" w:styleId="29">
    <w:name w:val="题注5"/>
    <w:basedOn w:val="1"/>
    <w:next w:val="7"/>
    <w:qFormat/>
    <w:uiPriority w:val="0"/>
    <w:pPr>
      <w:jc w:val="center"/>
    </w:pPr>
    <w:rPr>
      <w:rFonts w:ascii="Times New Roman" w:hAnsi="Times New Roman"/>
      <w:b/>
      <w:color w:val="000000"/>
      <w:sz w:val="24"/>
      <w:szCs w:val="21"/>
    </w:rPr>
  </w:style>
  <w:style w:type="paragraph" w:customStyle="1" w:styleId="30">
    <w:name w:val="Table Paragraph"/>
    <w:basedOn w:val="1"/>
    <w:unhideWhenUsed/>
    <w:qFormat/>
    <w:uiPriority w:val="1"/>
    <w:pPr>
      <w:ind w:left="101"/>
    </w:pPr>
    <w:rPr>
      <w:rFonts w:hint="eastAsia"/>
      <w:sz w:val="24"/>
    </w:rPr>
  </w:style>
  <w:style w:type="paragraph" w:customStyle="1" w:styleId="31">
    <w:name w:val="xl29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32">
    <w:name w:val="List Paragraph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5225</Words>
  <Characters>5555</Characters>
  <Lines>54</Lines>
  <Paragraphs>15</Paragraphs>
  <TotalTime>97</TotalTime>
  <ScaleCrop>false</ScaleCrop>
  <LinksUpToDate>false</LinksUpToDate>
  <CharactersWithSpaces>5564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2021-04-08T03:28:00Z</dcterms:created>
  <dc:creator>李浩基</dc:creator>
  <cp:lastModifiedBy>黄秉勋</cp:lastModifiedBy>
  <cp:lastPrinted>2022-04-13T08:49:00Z</cp:lastPrinted>
  <dcterms:modified xsi:type="dcterms:W3CDTF">2023-07-28T02:35:50Z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E4D039E1BC6F4A62BD81EA7F8416FC95</vt:lpwstr>
  </property>
</Properties>
</file>