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黑体" w:hAnsi="黑体" w:eastAsia="黑体"/>
          <w:sz w:val="48"/>
          <w:szCs w:val="44"/>
        </w:rPr>
      </w:pPr>
      <w:r>
        <w:rPr>
          <w:rFonts w:hint="eastAsia" w:ascii="黑体" w:hAnsi="黑体" w:eastAsia="黑体"/>
          <w:sz w:val="48"/>
          <w:szCs w:val="44"/>
        </w:rPr>
        <w:t>广东省妇幼保健院</w:t>
      </w:r>
    </w:p>
    <w:p>
      <w:pPr>
        <w:ind w:firstLine="0" w:firstLineChars="0"/>
        <w:jc w:val="center"/>
        <w:rPr>
          <w:rFonts w:hint="eastAsia" w:ascii="黑体" w:hAnsi="黑体" w:eastAsia="黑体"/>
          <w:sz w:val="48"/>
          <w:szCs w:val="44"/>
        </w:rPr>
      </w:pPr>
      <w:r>
        <w:rPr>
          <w:rFonts w:hint="eastAsia" w:ascii="黑体" w:hAnsi="黑体" w:eastAsia="黑体"/>
          <w:sz w:val="48"/>
          <w:szCs w:val="44"/>
        </w:rPr>
        <w:t>国家互联互通五乙测评</w:t>
      </w:r>
      <w:r>
        <w:rPr>
          <w:rFonts w:hint="eastAsia" w:ascii="黑体" w:hAnsi="黑体" w:eastAsia="黑体"/>
          <w:sz w:val="48"/>
          <w:szCs w:val="44"/>
          <w:lang w:val="en-US" w:eastAsia="zh-CN"/>
        </w:rPr>
        <w:t>升级改造</w:t>
      </w:r>
      <w:r>
        <w:rPr>
          <w:rFonts w:hint="eastAsia" w:ascii="黑体" w:hAnsi="黑体" w:eastAsia="黑体"/>
          <w:sz w:val="48"/>
          <w:szCs w:val="44"/>
        </w:rPr>
        <w:t>项目用户需求书</w:t>
      </w:r>
    </w:p>
    <w:p>
      <w:pPr>
        <w:pStyle w:val="2"/>
        <w:ind w:left="0" w:leftChars="-2" w:hanging="5" w:hangingChars="2"/>
      </w:pPr>
      <w:bookmarkStart w:id="0" w:name="_Toc140678625"/>
      <w:r>
        <w:rPr>
          <w:rFonts w:hint="eastAsia"/>
        </w:rPr>
        <w:t>系统功能需求</w:t>
      </w:r>
      <w:bookmarkEnd w:id="0"/>
    </w:p>
    <w:tbl>
      <w:tblPr>
        <w:tblStyle w:val="27"/>
        <w:tblW w:w="10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459"/>
        <w:gridCol w:w="1511"/>
        <w:gridCol w:w="7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jc w:val="center"/>
              <w:rPr>
                <w:rFonts w:hAnsi="宋体" w:cs="Times New Roman"/>
                <w:b/>
                <w:bCs/>
                <w:kern w:val="0"/>
                <w:sz w:val="21"/>
                <w:szCs w:val="21"/>
              </w:rPr>
            </w:pPr>
            <w:r>
              <w:rPr>
                <w:rFonts w:hint="eastAsia" w:hAnsi="宋体" w:cs="Times New Roman"/>
                <w:b/>
                <w:bCs/>
                <w:kern w:val="0"/>
                <w:sz w:val="21"/>
                <w:szCs w:val="21"/>
              </w:rPr>
              <w:t>分系统名称</w:t>
            </w:r>
          </w:p>
        </w:tc>
        <w:tc>
          <w:tcPr>
            <w:tcW w:w="1511" w:type="dxa"/>
            <w:shd w:val="clear" w:color="auto" w:fill="auto"/>
          </w:tcPr>
          <w:p>
            <w:pPr>
              <w:spacing w:line="240" w:lineRule="auto"/>
              <w:ind w:firstLine="0" w:firstLineChars="0"/>
              <w:jc w:val="center"/>
              <w:rPr>
                <w:rFonts w:hAnsi="宋体" w:cs="Times New Roman"/>
                <w:b/>
                <w:bCs/>
                <w:kern w:val="0"/>
                <w:sz w:val="21"/>
                <w:szCs w:val="21"/>
              </w:rPr>
            </w:pPr>
            <w:r>
              <w:rPr>
                <w:rFonts w:hint="eastAsia" w:hAnsi="宋体" w:cs="Times New Roman"/>
                <w:b/>
                <w:bCs/>
                <w:kern w:val="0"/>
                <w:sz w:val="21"/>
                <w:szCs w:val="21"/>
              </w:rPr>
              <w:t>系统功能</w:t>
            </w:r>
          </w:p>
        </w:tc>
        <w:tc>
          <w:tcPr>
            <w:tcW w:w="7030" w:type="dxa"/>
            <w:shd w:val="clear" w:color="auto" w:fill="auto"/>
          </w:tcPr>
          <w:p>
            <w:pPr>
              <w:spacing w:line="240" w:lineRule="auto"/>
              <w:ind w:firstLine="0" w:firstLineChars="0"/>
              <w:jc w:val="center"/>
              <w:rPr>
                <w:rFonts w:hAnsi="宋体" w:cs="Times New Roman"/>
                <w:b/>
                <w:bCs/>
                <w:kern w:val="0"/>
                <w:sz w:val="21"/>
                <w:szCs w:val="21"/>
              </w:rPr>
            </w:pPr>
            <w:r>
              <w:rPr>
                <w:rFonts w:hint="eastAsia" w:hAnsi="宋体" w:cs="宋体"/>
                <w:b/>
                <w:bCs/>
                <w:kern w:val="0"/>
                <w:sz w:val="21"/>
                <w:szCs w:val="21"/>
              </w:rPr>
              <w:t>功能描述及要求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restart"/>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一、</w:t>
            </w:r>
            <w:r>
              <w:rPr>
                <w:rFonts w:hAnsi="宋体" w:cs="Times New Roman"/>
                <w:kern w:val="0"/>
                <w:sz w:val="21"/>
                <w:szCs w:val="21"/>
              </w:rPr>
              <w:t>数据资源标准化建设</w:t>
            </w:r>
          </w:p>
        </w:tc>
        <w:tc>
          <w:tcPr>
            <w:tcW w:w="1511"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数据集标准化</w:t>
            </w: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按照《国家医疗健康信息医院信息互联互通标准化成熟度测评方案（</w:t>
            </w:r>
            <w:r>
              <w:rPr>
                <w:rFonts w:hAnsi="宋体" w:cs="Times New Roman"/>
                <w:kern w:val="0"/>
                <w:sz w:val="21"/>
                <w:szCs w:val="21"/>
              </w:rPr>
              <w:t>2020年版）》的最新要求在四甲的基础上，通过数据集管理系统对数据元进行改造，</w:t>
            </w:r>
            <w:r>
              <w:rPr>
                <w:rFonts w:hint="eastAsia" w:hAnsi="宋体" w:cs="Times New Roman"/>
                <w:kern w:val="0"/>
                <w:sz w:val="21"/>
                <w:szCs w:val="21"/>
              </w:rPr>
              <w:t>我院依据国家卫生计生委颁布的电子病历共享文档规范，目前我院已具备</w:t>
            </w:r>
            <w:r>
              <w:rPr>
                <w:rFonts w:hAnsi="宋体" w:cs="Times New Roman"/>
                <w:b/>
                <w:bCs/>
                <w:kern w:val="0"/>
                <w:sz w:val="21"/>
                <w:szCs w:val="21"/>
              </w:rPr>
              <w:t>52</w:t>
            </w:r>
            <w:r>
              <w:rPr>
                <w:rFonts w:hAnsi="宋体" w:cs="Times New Roman"/>
                <w:kern w:val="0"/>
                <w:sz w:val="21"/>
                <w:szCs w:val="21"/>
              </w:rPr>
              <w:t>份共享文档的标准化生成，对不能完全覆盖互联互通共享文档模板元素的文书，进行完整的核对和校验，通过梳理，补充缺失的元素、元素的约束。对于共享</w:t>
            </w:r>
            <w:bookmarkStart w:id="9" w:name="_GoBack"/>
            <w:bookmarkEnd w:id="9"/>
            <w:r>
              <w:rPr>
                <w:rFonts w:hAnsi="宋体" w:cs="Times New Roman"/>
                <w:kern w:val="0"/>
                <w:sz w:val="21"/>
                <w:szCs w:val="21"/>
              </w:rPr>
              <w:t>文档本身，依据规范建立了文档模板管理、章节管理，条目管理、元素管理，文档明细展示管理</w:t>
            </w:r>
            <w:r>
              <w:rPr>
                <w:rFonts w:hint="eastAsia" w:hAnsi="宋体" w:cs="Times New Roman"/>
                <w:kern w:val="0"/>
                <w:sz w:val="21"/>
                <w:szCs w:val="21"/>
              </w:rPr>
              <w:t>，目前要求</w:t>
            </w:r>
            <w:r>
              <w:rPr>
                <w:rFonts w:hAnsi="宋体" w:cs="Times New Roman"/>
                <w:kern w:val="0"/>
                <w:sz w:val="21"/>
                <w:szCs w:val="21"/>
              </w:rPr>
              <w:t>符合互联互通五乙测评要求。</w:t>
            </w:r>
          </w:p>
          <w:p>
            <w:pPr>
              <w:pStyle w:val="46"/>
              <w:numPr>
                <w:ilvl w:val="0"/>
                <w:numId w:val="2"/>
              </w:numPr>
              <w:spacing w:line="240" w:lineRule="auto"/>
              <w:ind w:firstLineChars="0"/>
              <w:rPr>
                <w:rFonts w:hAnsi="宋体" w:cs="Times New Roman"/>
                <w:kern w:val="0"/>
                <w:sz w:val="21"/>
                <w:szCs w:val="21"/>
              </w:rPr>
            </w:pPr>
            <w:r>
              <w:rPr>
                <w:rFonts w:hAnsi="宋体" w:cs="Times New Roman"/>
                <w:kern w:val="0"/>
                <w:sz w:val="21"/>
                <w:szCs w:val="21"/>
              </w:rPr>
              <w:t>数据资源标准化数据元建设</w:t>
            </w:r>
          </w:p>
          <w:p>
            <w:pPr>
              <w:pStyle w:val="46"/>
              <w:numPr>
                <w:ilvl w:val="0"/>
                <w:numId w:val="2"/>
              </w:numPr>
              <w:spacing w:line="240" w:lineRule="auto"/>
              <w:ind w:firstLineChars="0"/>
              <w:rPr>
                <w:rFonts w:hAnsi="宋体" w:cs="Times New Roman"/>
                <w:kern w:val="0"/>
                <w:sz w:val="21"/>
                <w:szCs w:val="21"/>
              </w:rPr>
            </w:pPr>
            <w:r>
              <w:rPr>
                <w:rFonts w:hAnsi="宋体" w:cs="Times New Roman"/>
                <w:kern w:val="0"/>
                <w:sz w:val="21"/>
                <w:szCs w:val="21"/>
              </w:rPr>
              <w:t>数据资源标准化数据元值域建设</w:t>
            </w:r>
          </w:p>
          <w:p>
            <w:pPr>
              <w:pStyle w:val="46"/>
              <w:numPr>
                <w:ilvl w:val="0"/>
                <w:numId w:val="2"/>
              </w:numPr>
              <w:spacing w:line="240" w:lineRule="auto"/>
              <w:ind w:firstLineChars="0"/>
              <w:rPr>
                <w:rFonts w:hAnsi="宋体" w:cs="Times New Roman"/>
                <w:kern w:val="0"/>
                <w:sz w:val="21"/>
                <w:szCs w:val="21"/>
              </w:rPr>
            </w:pPr>
            <w:r>
              <w:rPr>
                <w:rFonts w:hAnsi="宋体" w:cs="Times New Roman"/>
                <w:kern w:val="0"/>
                <w:sz w:val="21"/>
                <w:szCs w:val="21"/>
              </w:rPr>
              <w:t>数据资源标准化数据集建设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restart"/>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共享文档标准化</w:t>
            </w:r>
          </w:p>
        </w:tc>
        <w:tc>
          <w:tcPr>
            <w:tcW w:w="7030" w:type="dxa"/>
            <w:shd w:val="clear" w:color="auto" w:fill="auto"/>
          </w:tcPr>
          <w:p>
            <w:pPr>
              <w:spacing w:line="240" w:lineRule="auto"/>
              <w:ind w:firstLine="0" w:firstLineChars="0"/>
              <w:rPr>
                <w:rFonts w:hAnsi="宋体" w:cs="宋体"/>
                <w:color w:val="000000"/>
                <w:kern w:val="0"/>
                <w:sz w:val="21"/>
                <w:szCs w:val="21"/>
              </w:rPr>
            </w:pPr>
            <w:r>
              <w:rPr>
                <w:rFonts w:hint="eastAsia" w:hAnsi="宋体" w:cs="宋体"/>
                <w:color w:val="000000"/>
                <w:kern w:val="0"/>
                <w:sz w:val="21"/>
                <w:szCs w:val="21"/>
              </w:rPr>
              <w:t>我院集成平台交互服务数量，</w:t>
            </w:r>
            <w:r>
              <w:rPr>
                <w:rFonts w:hAnsi="宋体" w:cs="宋体"/>
                <w:b/>
                <w:bCs/>
                <w:color w:val="000000"/>
                <w:kern w:val="0"/>
                <w:sz w:val="21"/>
                <w:szCs w:val="21"/>
              </w:rPr>
              <w:t>290</w:t>
            </w:r>
            <w:r>
              <w:rPr>
                <w:rFonts w:hAnsi="宋体" w:cs="宋体"/>
                <w:color w:val="000000"/>
                <w:kern w:val="0"/>
                <w:sz w:val="21"/>
                <w:szCs w:val="21"/>
              </w:rPr>
              <w:t>个；日均交互量</w:t>
            </w:r>
            <w:r>
              <w:rPr>
                <w:rFonts w:hAnsi="宋体" w:cs="宋体"/>
                <w:b/>
                <w:bCs/>
                <w:color w:val="000000"/>
                <w:kern w:val="0"/>
                <w:sz w:val="21"/>
                <w:szCs w:val="21"/>
              </w:rPr>
              <w:t>87</w:t>
            </w:r>
            <w:r>
              <w:rPr>
                <w:rFonts w:hAnsi="宋体" w:cs="宋体"/>
                <w:color w:val="000000"/>
                <w:kern w:val="0"/>
                <w:sz w:val="21"/>
                <w:szCs w:val="21"/>
              </w:rPr>
              <w:t>万</w:t>
            </w:r>
            <w:r>
              <w:rPr>
                <w:rFonts w:hint="eastAsia" w:hAnsi="宋体" w:cs="宋体"/>
                <w:color w:val="000000"/>
                <w:kern w:val="0"/>
                <w:sz w:val="21"/>
                <w:szCs w:val="21"/>
              </w:rPr>
              <w:t>。</w:t>
            </w:r>
          </w:p>
          <w:p>
            <w:pPr>
              <w:spacing w:line="240" w:lineRule="auto"/>
              <w:ind w:firstLine="0" w:firstLineChars="0"/>
              <w:rPr>
                <w:rFonts w:hAnsi="宋体" w:cs="Times New Roman"/>
                <w:kern w:val="0"/>
                <w:sz w:val="21"/>
                <w:szCs w:val="21"/>
              </w:rPr>
            </w:pPr>
            <w:r>
              <w:rPr>
                <w:rFonts w:hint="eastAsia" w:hAnsi="宋体" w:cs="宋体"/>
                <w:color w:val="000000"/>
                <w:kern w:val="0"/>
                <w:sz w:val="21"/>
                <w:szCs w:val="21"/>
              </w:rPr>
              <w:t>按照《国家医疗健康信息医院信息互联互通标准化成熟度测评方案（2020年版）》的最新要求在四甲的基础上，对共享文档生成工具进行全面升级，符合互联互通五乙测评要求。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共享文档数据抽取过程：</w:t>
            </w:r>
          </w:p>
          <w:p>
            <w:pPr>
              <w:pStyle w:val="46"/>
              <w:numPr>
                <w:ilvl w:val="0"/>
                <w:numId w:val="3"/>
              </w:numPr>
              <w:spacing w:line="240" w:lineRule="auto"/>
              <w:ind w:left="462" w:hanging="425" w:firstLineChars="0"/>
              <w:rPr>
                <w:rFonts w:hAnsi="宋体" w:cs="Times New Roman"/>
                <w:kern w:val="0"/>
                <w:sz w:val="21"/>
                <w:szCs w:val="21"/>
              </w:rPr>
            </w:pPr>
            <w:r>
              <w:rPr>
                <w:rFonts w:hAnsi="宋体" w:cs="Times New Roman"/>
                <w:kern w:val="0"/>
                <w:sz w:val="21"/>
                <w:szCs w:val="21"/>
              </w:rPr>
              <w:t>数据集表数据抽取</w:t>
            </w:r>
          </w:p>
          <w:p>
            <w:pPr>
              <w:pStyle w:val="46"/>
              <w:numPr>
                <w:ilvl w:val="0"/>
                <w:numId w:val="3"/>
              </w:numPr>
              <w:spacing w:line="240" w:lineRule="auto"/>
              <w:ind w:left="462" w:firstLineChars="0"/>
              <w:rPr>
                <w:rFonts w:hAnsi="宋体" w:cs="Times New Roman"/>
                <w:kern w:val="0"/>
                <w:sz w:val="21"/>
                <w:szCs w:val="21"/>
              </w:rPr>
            </w:pPr>
            <w:r>
              <w:rPr>
                <w:rFonts w:hAnsi="宋体" w:cs="Times New Roman"/>
                <w:kern w:val="0"/>
                <w:sz w:val="21"/>
                <w:szCs w:val="21"/>
              </w:rPr>
              <w:t>数据集表数据符合度校验</w:t>
            </w:r>
          </w:p>
          <w:p>
            <w:pPr>
              <w:pStyle w:val="46"/>
              <w:numPr>
                <w:ilvl w:val="0"/>
                <w:numId w:val="3"/>
              </w:numPr>
              <w:spacing w:line="240" w:lineRule="auto"/>
              <w:ind w:left="462" w:firstLineChars="0"/>
              <w:rPr>
                <w:rFonts w:hAnsi="宋体" w:cs="Times New Roman"/>
                <w:kern w:val="0"/>
                <w:sz w:val="21"/>
                <w:szCs w:val="21"/>
              </w:rPr>
            </w:pPr>
            <w:r>
              <w:rPr>
                <w:rFonts w:hAnsi="宋体" w:cs="Times New Roman"/>
                <w:kern w:val="0"/>
                <w:sz w:val="21"/>
                <w:szCs w:val="21"/>
              </w:rPr>
              <w:t>共享文档生成并校验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共享文档数据建设要求：</w:t>
            </w:r>
          </w:p>
          <w:p>
            <w:pPr>
              <w:pStyle w:val="46"/>
              <w:numPr>
                <w:ilvl w:val="0"/>
                <w:numId w:val="3"/>
              </w:numPr>
              <w:spacing w:line="240" w:lineRule="auto"/>
              <w:ind w:left="462" w:hanging="425" w:firstLineChars="0"/>
              <w:rPr>
                <w:rFonts w:hAnsi="宋体" w:cs="Times New Roman"/>
                <w:kern w:val="0"/>
                <w:sz w:val="21"/>
                <w:szCs w:val="21"/>
              </w:rPr>
            </w:pPr>
            <w:r>
              <w:rPr>
                <w:rFonts w:hint="eastAsia" w:hAnsi="宋体" w:cs="Times New Roman"/>
                <w:kern w:val="0"/>
                <w:sz w:val="21"/>
                <w:szCs w:val="21"/>
              </w:rPr>
              <w:t>共享文档建设遵循</w:t>
            </w:r>
            <w:r>
              <w:rPr>
                <w:rFonts w:hAnsi="宋体" w:cs="Times New Roman"/>
                <w:kern w:val="0"/>
                <w:sz w:val="21"/>
                <w:szCs w:val="21"/>
              </w:rPr>
              <w:t>《WS/T 500 -2016 电子病历共享文档规范》</w:t>
            </w:r>
            <w:r>
              <w:rPr>
                <w:rFonts w:hint="eastAsia" w:hAnsi="宋体" w:cs="Times New Roman"/>
                <w:kern w:val="0"/>
                <w:sz w:val="21"/>
                <w:szCs w:val="21"/>
              </w:rPr>
              <w:t>标准</w:t>
            </w:r>
          </w:p>
          <w:p>
            <w:pPr>
              <w:pStyle w:val="46"/>
              <w:numPr>
                <w:ilvl w:val="0"/>
                <w:numId w:val="3"/>
              </w:numPr>
              <w:spacing w:line="240" w:lineRule="auto"/>
              <w:ind w:left="462" w:hanging="425" w:firstLineChars="0"/>
              <w:rPr>
                <w:rFonts w:hAnsi="宋体" w:cs="Times New Roman"/>
                <w:kern w:val="0"/>
                <w:sz w:val="21"/>
                <w:szCs w:val="21"/>
              </w:rPr>
            </w:pPr>
            <w:r>
              <w:rPr>
                <w:rFonts w:hint="eastAsia" w:hAnsi="宋体" w:cs="Times New Roman"/>
                <w:kern w:val="0"/>
                <w:sz w:val="21"/>
                <w:szCs w:val="21"/>
              </w:rPr>
              <w:t>每类共享文档至少覆盖近三年的业务数据(如在此期间又系统升级或替换需要保证新旧系统的文档注册)</w:t>
            </w:r>
          </w:p>
          <w:p>
            <w:pPr>
              <w:pStyle w:val="46"/>
              <w:numPr>
                <w:ilvl w:val="0"/>
                <w:numId w:val="3"/>
              </w:numPr>
              <w:spacing w:line="240" w:lineRule="auto"/>
              <w:ind w:left="462" w:hanging="425" w:firstLineChars="0"/>
              <w:rPr>
                <w:rFonts w:hAnsi="宋体" w:cs="Times New Roman"/>
                <w:kern w:val="0"/>
                <w:sz w:val="21"/>
                <w:szCs w:val="21"/>
              </w:rPr>
            </w:pPr>
            <w:r>
              <w:rPr>
                <w:rFonts w:hint="eastAsia" w:hAnsi="宋体" w:cs="Times New Roman"/>
                <w:kern w:val="0"/>
                <w:sz w:val="21"/>
                <w:szCs w:val="21"/>
              </w:rPr>
              <w:t>门诊业务的共享文档注册时效性 &lt; T + 1 小时，住院业务的共享文档注册时效性 &lt; T + 1天</w:t>
            </w:r>
          </w:p>
          <w:p>
            <w:pPr>
              <w:pStyle w:val="46"/>
              <w:numPr>
                <w:ilvl w:val="0"/>
                <w:numId w:val="3"/>
              </w:numPr>
              <w:spacing w:line="240" w:lineRule="auto"/>
              <w:ind w:left="462" w:hanging="425" w:firstLineChars="0"/>
              <w:rPr>
                <w:rFonts w:hAnsi="宋体" w:cs="Times New Roman"/>
                <w:kern w:val="0"/>
                <w:sz w:val="21"/>
                <w:szCs w:val="21"/>
              </w:rPr>
            </w:pPr>
            <w:r>
              <w:rPr>
                <w:rFonts w:hint="eastAsia" w:hAnsi="宋体" w:cs="Times New Roman"/>
                <w:kern w:val="0"/>
                <w:sz w:val="21"/>
                <w:szCs w:val="21"/>
              </w:rPr>
              <w:t>共享文档库数据量需足够支持平台应用，满足五乙要求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共享文档明细：</w:t>
            </w:r>
          </w:p>
          <w:tbl>
            <w:tblPr>
              <w:tblStyle w:val="26"/>
              <w:tblW w:w="5042" w:type="dxa"/>
              <w:tblInd w:w="93" w:type="dxa"/>
              <w:tblLayout w:type="fixed"/>
              <w:tblCellMar>
                <w:top w:w="0" w:type="dxa"/>
                <w:left w:w="108" w:type="dxa"/>
                <w:bottom w:w="0" w:type="dxa"/>
                <w:right w:w="108" w:type="dxa"/>
              </w:tblCellMar>
            </w:tblPr>
            <w:tblGrid>
              <w:gridCol w:w="1782"/>
              <w:gridCol w:w="1559"/>
              <w:gridCol w:w="709"/>
              <w:gridCol w:w="992"/>
            </w:tblGrid>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b/>
                      <w:bCs/>
                      <w:color w:val="000000"/>
                      <w:sz w:val="18"/>
                      <w:szCs w:val="18"/>
                    </w:rPr>
                  </w:pPr>
                  <w:r>
                    <w:rPr>
                      <w:rFonts w:hint="eastAsia" w:hAnsi="宋体" w:cs="宋体"/>
                      <w:b/>
                      <w:bCs/>
                      <w:color w:val="000000"/>
                      <w:kern w:val="0"/>
                      <w:sz w:val="18"/>
                      <w:szCs w:val="18"/>
                    </w:rPr>
                    <w:t>文档标准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b/>
                      <w:bCs/>
                      <w:color w:val="000000"/>
                      <w:sz w:val="18"/>
                      <w:szCs w:val="18"/>
                    </w:rPr>
                  </w:pPr>
                  <w:r>
                    <w:rPr>
                      <w:rFonts w:hint="eastAsia" w:hAnsi="宋体" w:cs="宋体"/>
                      <w:b/>
                      <w:bCs/>
                      <w:color w:val="000000"/>
                      <w:kern w:val="0"/>
                      <w:sz w:val="18"/>
                      <w:szCs w:val="18"/>
                    </w:rPr>
                    <w:t>文档指标</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b/>
                      <w:bCs/>
                      <w:color w:val="000000"/>
                      <w:sz w:val="18"/>
                      <w:szCs w:val="18"/>
                    </w:rPr>
                  </w:pPr>
                  <w:r>
                    <w:rPr>
                      <w:rFonts w:hint="eastAsia" w:hAnsi="宋体" w:cs="宋体"/>
                      <w:b/>
                      <w:bCs/>
                      <w:color w:val="000000"/>
                      <w:kern w:val="0"/>
                      <w:sz w:val="18"/>
                      <w:szCs w:val="18"/>
                    </w:rPr>
                    <w:t>建设方式</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b/>
                      <w:bCs/>
                      <w:color w:val="000000"/>
                      <w:sz w:val="18"/>
                      <w:szCs w:val="18"/>
                    </w:rPr>
                  </w:pPr>
                  <w:r>
                    <w:rPr>
                      <w:rFonts w:hint="eastAsia" w:hAnsi="宋体" w:cs="宋体"/>
                      <w:b/>
                      <w:bCs/>
                      <w:color w:val="000000"/>
                      <w:kern w:val="0"/>
                      <w:sz w:val="18"/>
                      <w:szCs w:val="18"/>
                    </w:rPr>
                    <w:t>建设标准</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病历摘要</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门（急）诊病历</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急诊留观病历</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西药处方</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电子病历共享文档规范第5部分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中药处方</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电子病历共享文档规范第6部分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检查报告（记录）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电子病历共享文档规范第7部分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检验报告（记录）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电子病历共享文档规范第8部分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治疗记录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电子病历共享文档规范第9部分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一般手术记录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电子病历共享文档规范第10部分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麻醉术前访视记录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电子病历共享文档规范第11部分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麻醉记录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电子病历共享文档规范第12部分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麻醉术后访视记录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电子病历共享文档规范第13部分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输血记录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电子病历共享文档规范第14部分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待产记录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电子病历共享文档规范第15部分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阴道分娩记录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电子病历共享文档规范第16部分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剖宫产记录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电子病历共享文档规范第17部分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一般护理记录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电子病历共享文档规范第18部分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病重（病危）护理记录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电子病历共享文档规范第19部分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手术护理记录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电子病历共享文档规范第20部分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生命体征测量记录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电子病历共享文档规范第21部分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出入量记录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电子病历共享文档规范第22部分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高值耗材使用记录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电子病历共享文档规范第23部分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入院评估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电子病历共享文档规范第24部分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护理计划</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电子病历共享文档规范第25部分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出院评估与指导</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电子病历共享文档规范第26部分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手术知情同意书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电子病历共享文档规范第27部分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麻醉知情同意书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电子病历共享文档规范第28部分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输血治疗同意书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电子病历共享文档规范第29部分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特殊检查及特殊治疗同意书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电子病历共享文档规范第30部分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病危（重）通知书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电子病历共享文档规范第31部分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其他知情同意书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电子病历共享文档规范第32部分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住院病案首页</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电子病历共享文档规范第33部分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中医住院病案首页</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无此业务</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无此业务</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电子病历共享文档规范第34部分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入院记录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电子病历共享文档规范第35部分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24h内入出院记录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电子病历共享文档规范第36部分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24h内入院死亡记录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电子病历共享文档规范第37部分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首次病程记录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电子病历共享文档规范第38部分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日常病程记录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电子病历共享文档规范第39部分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上级医师查房记录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电子病历共享文档规范第40部分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疑难病例讨论记录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电子病历共享文档规范第41部分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交接班记录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电子病历共享文档规范第42部分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转科记录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电子病历共享文档规范第43部分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阶段小结</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电子病历共享文档规范第44部分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抢救记录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电子病历共享文档规范第45部分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会诊记录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电子病历共享文档规范第46部分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术前小结</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电子病历共享文档规范第47部分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术前讨论</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电子病历共享文档规范第48部分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术后首次病程记录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电子病历共享文档规范第49部分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出院记录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电子病历共享文档规范第50部分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死亡记录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电子病历共享文档规范第51部分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死亡病例讨论记录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电子病历共享文档规范第52部分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住院医嘱</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r>
              <w:tblPrEx>
                <w:tblCellMar>
                  <w:top w:w="0" w:type="dxa"/>
                  <w:left w:w="108" w:type="dxa"/>
                  <w:bottom w:w="0" w:type="dxa"/>
                  <w:right w:w="108" w:type="dxa"/>
                </w:tblCellMar>
              </w:tblPrEx>
              <w:trPr>
                <w:trHeight w:val="285" w:hRule="atLeast"/>
              </w:trPr>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电子病历共享文档规范第53部分</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出院小结</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覆盖3年业务量</w:t>
                  </w:r>
                </w:p>
              </w:tc>
            </w:tr>
          </w:tbl>
          <w:p>
            <w:pPr>
              <w:spacing w:line="240" w:lineRule="auto"/>
              <w:ind w:firstLine="0" w:firstLineChars="0"/>
              <w:rPr>
                <w:rFonts w:hAnsi="宋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restart"/>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二、互联互通标准化建设</w:t>
            </w:r>
          </w:p>
        </w:tc>
        <w:tc>
          <w:tcPr>
            <w:tcW w:w="1511" w:type="dxa"/>
            <w:vMerge w:val="restart"/>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技术架构建设</w:t>
            </w:r>
          </w:p>
        </w:tc>
        <w:tc>
          <w:tcPr>
            <w:tcW w:w="7030" w:type="dxa"/>
            <w:shd w:val="clear" w:color="auto" w:fill="auto"/>
          </w:tcPr>
          <w:p>
            <w:pPr>
              <w:pStyle w:val="46"/>
              <w:numPr>
                <w:ilvl w:val="0"/>
                <w:numId w:val="4"/>
              </w:numPr>
              <w:spacing w:line="240" w:lineRule="auto"/>
              <w:ind w:left="-104" w:firstLine="0" w:firstLineChars="0"/>
              <w:rPr>
                <w:rFonts w:hAnsi="宋体" w:cs="Times New Roman"/>
                <w:kern w:val="0"/>
                <w:sz w:val="21"/>
                <w:szCs w:val="21"/>
              </w:rPr>
            </w:pPr>
            <w:r>
              <w:rPr>
                <w:rFonts w:hint="eastAsia" w:hAnsi="宋体" w:cs="Times New Roman"/>
                <w:kern w:val="0"/>
                <w:sz w:val="21"/>
                <w:szCs w:val="21"/>
              </w:rPr>
              <w:t>医院临床数据中心（</w:t>
            </w:r>
            <w:r>
              <w:rPr>
                <w:rFonts w:hAnsi="宋体" w:cs="Times New Roman"/>
                <w:kern w:val="0"/>
                <w:sz w:val="21"/>
                <w:szCs w:val="21"/>
              </w:rPr>
              <w:t>CDR）时效性：</w:t>
            </w:r>
            <w:r>
              <w:rPr>
                <w:rFonts w:hint="eastAsia" w:hAnsi="宋体" w:cs="Times New Roman"/>
                <w:kern w:val="0"/>
                <w:sz w:val="21"/>
                <w:szCs w:val="21"/>
              </w:rPr>
              <w:t>在四甲实现患者信息准实时的基础上，保证CDR主要域如检验、检查(超声、放射、内镜、病理、心电)、医嘱、收费、手麻、输血、发药等信息接入时效性</w:t>
            </w:r>
            <w:r>
              <w:rPr>
                <w:rFonts w:hAnsi="宋体" w:cs="Times New Roman"/>
                <w:kern w:val="0"/>
                <w:sz w:val="21"/>
                <w:szCs w:val="21"/>
              </w:rPr>
              <w:t>小于T+1</w:t>
            </w:r>
            <w:r>
              <w:rPr>
                <w:rFonts w:hint="eastAsia" w:hAnsi="宋体" w:cs="Times New Roman"/>
                <w:kern w:val="0"/>
                <w:sz w:val="21"/>
                <w:szCs w:val="21"/>
              </w:rPr>
              <w:t>小时，其他管理数据接入时效性小于T+1天，整体需满足互联互通五乙要求。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2、</w:t>
            </w:r>
            <w:r>
              <w:rPr>
                <w:rFonts w:hAnsi="宋体" w:cs="Times New Roman"/>
                <w:kern w:val="0"/>
                <w:sz w:val="21"/>
                <w:szCs w:val="21"/>
              </w:rPr>
              <w:t>单点登录：</w:t>
            </w:r>
          </w:p>
          <w:p>
            <w:pPr>
              <w:spacing w:line="240" w:lineRule="auto"/>
              <w:ind w:firstLine="0" w:firstLineChars="0"/>
              <w:rPr>
                <w:rFonts w:hAnsi="宋体" w:cs="Times New Roman"/>
                <w:kern w:val="0"/>
                <w:sz w:val="21"/>
                <w:szCs w:val="21"/>
              </w:rPr>
            </w:pPr>
            <w:r>
              <w:rPr>
                <w:rFonts w:hAnsi="宋体" w:cs="Times New Roman"/>
                <w:kern w:val="0"/>
                <w:sz w:val="21"/>
                <w:szCs w:val="21"/>
              </w:rPr>
              <w:t>①在四甲基础上需支持代理认证方式(如CA扫码登录)</w:t>
            </w:r>
          </w:p>
          <w:p>
            <w:pPr>
              <w:spacing w:line="240" w:lineRule="auto"/>
              <w:ind w:firstLine="0" w:firstLineChars="0"/>
              <w:rPr>
                <w:rFonts w:hAnsi="宋体" w:cs="Times New Roman"/>
                <w:kern w:val="0"/>
                <w:sz w:val="21"/>
                <w:szCs w:val="21"/>
              </w:rPr>
            </w:pPr>
            <w:r>
              <w:rPr>
                <w:rFonts w:hAnsi="宋体" w:cs="Times New Roman"/>
                <w:kern w:val="0"/>
                <w:sz w:val="21"/>
                <w:szCs w:val="21"/>
              </w:rPr>
              <w:t>②在四甲已接入42个系统的基础上更新接入系统(集成临床服务系统、医疗管理系统、运营管理系统等)，整体需满足互联互通五级乙等要求。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3、医院临床数据中心（</w:t>
            </w:r>
            <w:r>
              <w:rPr>
                <w:rFonts w:hAnsi="宋体" w:cs="Times New Roman"/>
                <w:kern w:val="0"/>
                <w:sz w:val="21"/>
                <w:szCs w:val="21"/>
              </w:rPr>
              <w:t>CDR）展现与管理：在四甲的基础上丰富CDR域的接入(如体检域等)，进行统一的展现与管理，并通过患者360视图进行展示，整体需满足互联互通五乙要求。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4、</w:t>
            </w:r>
            <w:r>
              <w:rPr>
                <w:rFonts w:hAnsi="宋体" w:cs="Times New Roman"/>
                <w:kern w:val="0"/>
                <w:sz w:val="21"/>
                <w:szCs w:val="21"/>
              </w:rPr>
              <w:t>数据脱敏配置管理：</w:t>
            </w:r>
            <w:r>
              <w:rPr>
                <w:rFonts w:hint="eastAsia" w:hAnsi="宋体" w:cs="Times New Roman"/>
                <w:kern w:val="0"/>
                <w:sz w:val="21"/>
                <w:szCs w:val="21"/>
              </w:rPr>
              <w:t>在四甲的基础上深化脱敏的应用场景(如科研查询的患者信息脱敏)，升级</w:t>
            </w:r>
            <w:r>
              <w:rPr>
                <w:rFonts w:hAnsi="宋体" w:cs="Times New Roman"/>
                <w:kern w:val="0"/>
                <w:sz w:val="21"/>
                <w:szCs w:val="21"/>
              </w:rPr>
              <w:t>脱敏规则管理模块</w:t>
            </w:r>
            <w:r>
              <w:rPr>
                <w:rFonts w:hint="eastAsia" w:hAnsi="宋体" w:cs="Times New Roman"/>
                <w:kern w:val="0"/>
                <w:sz w:val="21"/>
                <w:szCs w:val="21"/>
              </w:rPr>
              <w:t>，并支持提供脱敏规则服务给第三方系统调用，整体需满足互联互通五乙要求。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5、</w:t>
            </w:r>
            <w:r>
              <w:rPr>
                <w:rFonts w:hAnsi="宋体" w:cs="Times New Roman"/>
                <w:kern w:val="0"/>
                <w:sz w:val="21"/>
                <w:szCs w:val="21"/>
              </w:rPr>
              <w:t>患者主索引管理(升级)：在四甲的基础上深化EMPI的应用场景，将患者主索引注册、患者主索引合并、患者主索引拆分、患者主索引查询通过ESB总线和HIS系统集成，主索引规则的配置需兼容产妇分娩情况(增加胎次</w:t>
            </w:r>
            <w:r>
              <w:rPr>
                <w:rFonts w:hint="eastAsia" w:hAnsi="宋体" w:cs="Times New Roman"/>
                <w:kern w:val="0"/>
                <w:sz w:val="21"/>
                <w:szCs w:val="21"/>
              </w:rPr>
              <w:t>、产次</w:t>
            </w:r>
            <w:r>
              <w:rPr>
                <w:rFonts w:hint="eastAsia" w:hAnsi="宋体" w:cs="Times New Roman"/>
                <w:kern w:val="0"/>
                <w:sz w:val="21"/>
                <w:szCs w:val="21"/>
                <w:lang w:val="en-US" w:eastAsia="zh-CN"/>
              </w:rPr>
              <w:t>等</w:t>
            </w:r>
            <w:r>
              <w:rPr>
                <w:rFonts w:hAnsi="宋体" w:cs="Times New Roman"/>
                <w:kern w:val="0"/>
                <w:sz w:val="21"/>
                <w:szCs w:val="21"/>
              </w:rPr>
              <w:t>)，整体需满足互联互通五乙要求。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6、</w:t>
            </w:r>
            <w:r>
              <w:rPr>
                <w:rFonts w:hAnsi="宋体" w:cs="Times New Roman"/>
                <w:kern w:val="0"/>
                <w:sz w:val="21"/>
                <w:szCs w:val="21"/>
              </w:rPr>
              <w:t>基础字典管理：在四甲的基础上升级主数据标准管理功能、主数据映射管理功能、主数据同步分发功能，在集成平台上构建医院基础数据库，通过对平台相关的各业务系统提供基础数据服务，实现基础数据的同步或匹配，包括用户账号权限、医生资质、组织机构、诊疗单元、服务单元、病人信息、检查项目、收费项目、药品目录、诊断、诊间、设备、床位等，以及用以描述主数据之间的关系的关系数据，如组织机构与服务单元的关系、组织机构和与人员的关系、服务单元与人员的关系、检验检查项目和收费项目、临床诊断和标准ICD的关系等，以规范数据的统计口径，</w:t>
            </w:r>
            <w:r>
              <w:rPr>
                <w:rFonts w:hint="eastAsia" w:hAnsi="宋体" w:cs="Times New Roman"/>
                <w:kern w:val="0"/>
                <w:sz w:val="21"/>
                <w:szCs w:val="21"/>
              </w:rPr>
              <w:t>提高数据质量，整体需满足互联互通五乙要求。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7、</w:t>
            </w:r>
            <w:r>
              <w:rPr>
                <w:rFonts w:hAnsi="宋体" w:cs="Times New Roman"/>
                <w:kern w:val="0"/>
                <w:sz w:val="21"/>
                <w:szCs w:val="21"/>
              </w:rPr>
              <w:t>统一闭环展现</w:t>
            </w:r>
          </w:p>
          <w:p>
            <w:pPr>
              <w:spacing w:line="240" w:lineRule="auto"/>
              <w:ind w:firstLine="0" w:firstLineChars="0"/>
              <w:rPr>
                <w:rFonts w:hAnsi="宋体" w:cs="Times New Roman"/>
                <w:kern w:val="0"/>
                <w:sz w:val="21"/>
                <w:szCs w:val="21"/>
              </w:rPr>
            </w:pPr>
            <w:r>
              <w:rPr>
                <w:rFonts w:hAnsi="宋体" w:cs="Times New Roman"/>
                <w:kern w:val="0"/>
                <w:sz w:val="21"/>
                <w:szCs w:val="21"/>
              </w:rPr>
              <w:t>基于集成平台实时消息和数据中心全量数据展现能力，梳理医院日常 活动，提炼医院业务过程中的操作过程，对业务全流程进行持续追 踪，采用可靠、高效的算法对输入数据进行挖掘分析，按照触发条 件、时间节点等进行展现，结果可以辅助流程管理人员全面了解医院 的各项工作运转情况； 根据医院运营管理需求，实现闭环流程追溯监控功能，具体闭环类 型、名称、节点按照医院要求制定；</w:t>
            </w:r>
          </w:p>
          <w:p>
            <w:pPr>
              <w:spacing w:line="240" w:lineRule="auto"/>
              <w:ind w:firstLine="0" w:firstLineChars="0"/>
              <w:rPr>
                <w:rFonts w:hAnsi="宋体" w:cs="Times New Roman"/>
                <w:kern w:val="0"/>
                <w:sz w:val="21"/>
                <w:szCs w:val="21"/>
              </w:rPr>
            </w:pPr>
            <w:r>
              <w:rPr>
                <w:rFonts w:hint="eastAsia" w:hAnsi="宋体" w:cs="Times New Roman"/>
                <w:kern w:val="0"/>
                <w:sz w:val="21"/>
                <w:szCs w:val="21"/>
              </w:rPr>
              <w:t>①闭环管理系统：需支持闭环名称维护、闭环节点维护、患者闭环展示，闭环信息需支持集成到患者360，支持给第三方系统调用。</w:t>
            </w:r>
          </w:p>
          <w:p>
            <w:pPr>
              <w:spacing w:line="240" w:lineRule="auto"/>
              <w:ind w:firstLine="0" w:firstLineChars="0"/>
              <w:rPr>
                <w:rFonts w:hAnsi="宋体" w:cs="Times New Roman"/>
                <w:kern w:val="0"/>
                <w:sz w:val="21"/>
                <w:szCs w:val="21"/>
              </w:rPr>
            </w:pPr>
            <w:r>
              <w:rPr>
                <w:rFonts w:hint="eastAsia" w:hAnsi="宋体" w:cs="Times New Roman"/>
                <w:kern w:val="0"/>
                <w:sz w:val="21"/>
                <w:szCs w:val="21"/>
              </w:rPr>
              <w:t>②按照五乙要求基于平台实现医嘱和重点业务的闭环展示，包括：</w:t>
            </w:r>
          </w:p>
          <w:p>
            <w:pPr>
              <w:spacing w:line="240" w:lineRule="auto"/>
              <w:ind w:firstLine="0" w:firstLineChars="0"/>
              <w:rPr>
                <w:rFonts w:hAnsi="宋体" w:cs="Times New Roman"/>
                <w:kern w:val="0"/>
                <w:sz w:val="21"/>
                <w:szCs w:val="21"/>
              </w:rPr>
            </w:pPr>
            <w:r>
              <w:rPr>
                <w:rFonts w:hint="eastAsia" w:hAnsi="宋体" w:cs="Times New Roman"/>
                <w:b/>
                <w:bCs/>
                <w:kern w:val="0"/>
                <w:sz w:val="21"/>
                <w:szCs w:val="21"/>
              </w:rPr>
              <w:t>医嘱闭环：</w:t>
            </w:r>
          </w:p>
          <w:p>
            <w:pPr>
              <w:pStyle w:val="46"/>
              <w:numPr>
                <w:ilvl w:val="0"/>
                <w:numId w:val="5"/>
              </w:numPr>
              <w:spacing w:line="240" w:lineRule="auto"/>
              <w:ind w:left="480" w:firstLine="109" w:firstLineChars="52"/>
              <w:rPr>
                <w:rFonts w:hAnsi="宋体" w:cs="Times New Roman"/>
                <w:kern w:val="0"/>
                <w:sz w:val="21"/>
                <w:szCs w:val="21"/>
              </w:rPr>
            </w:pPr>
            <w:r>
              <w:rPr>
                <w:rFonts w:hint="eastAsia" w:hAnsi="宋体" w:cs="Times New Roman"/>
                <w:kern w:val="0"/>
                <w:sz w:val="21"/>
                <w:szCs w:val="21"/>
              </w:rPr>
              <w:t>口服药闭环</w:t>
            </w:r>
          </w:p>
          <w:p>
            <w:pPr>
              <w:pStyle w:val="46"/>
              <w:numPr>
                <w:ilvl w:val="0"/>
                <w:numId w:val="5"/>
              </w:numPr>
              <w:spacing w:line="240" w:lineRule="auto"/>
              <w:ind w:left="480" w:firstLine="109" w:firstLineChars="52"/>
              <w:rPr>
                <w:rFonts w:hAnsi="宋体" w:cs="Times New Roman"/>
                <w:kern w:val="0"/>
                <w:sz w:val="21"/>
                <w:szCs w:val="21"/>
              </w:rPr>
            </w:pPr>
            <w:r>
              <w:rPr>
                <w:rFonts w:hint="eastAsia" w:hAnsi="宋体" w:cs="Times New Roman"/>
                <w:kern w:val="0"/>
                <w:sz w:val="21"/>
                <w:szCs w:val="21"/>
              </w:rPr>
              <w:t>静脉药物闭环</w:t>
            </w:r>
          </w:p>
          <w:p>
            <w:pPr>
              <w:pStyle w:val="46"/>
              <w:numPr>
                <w:ilvl w:val="0"/>
                <w:numId w:val="5"/>
              </w:numPr>
              <w:spacing w:line="240" w:lineRule="auto"/>
              <w:ind w:left="480" w:firstLine="109" w:firstLineChars="52"/>
              <w:rPr>
                <w:rFonts w:hAnsi="宋体" w:cs="Times New Roman"/>
                <w:kern w:val="0"/>
                <w:sz w:val="21"/>
                <w:szCs w:val="21"/>
              </w:rPr>
            </w:pPr>
            <w:r>
              <w:rPr>
                <w:rFonts w:hint="eastAsia" w:hAnsi="宋体" w:cs="Times New Roman"/>
                <w:kern w:val="0"/>
                <w:sz w:val="21"/>
                <w:szCs w:val="21"/>
              </w:rPr>
              <w:t>其他用药闭环</w:t>
            </w:r>
          </w:p>
          <w:p>
            <w:pPr>
              <w:spacing w:line="240" w:lineRule="auto"/>
              <w:ind w:firstLine="0" w:firstLineChars="0"/>
              <w:rPr>
                <w:rFonts w:hAnsi="宋体" w:cs="Times New Roman"/>
                <w:kern w:val="0"/>
                <w:sz w:val="21"/>
                <w:szCs w:val="21"/>
              </w:rPr>
            </w:pPr>
            <w:r>
              <w:rPr>
                <w:rFonts w:hint="eastAsia" w:hAnsi="宋体" w:cs="Times New Roman"/>
                <w:b/>
                <w:bCs/>
                <w:kern w:val="0"/>
                <w:sz w:val="21"/>
                <w:szCs w:val="21"/>
              </w:rPr>
              <w:t>重点业务闭环：</w:t>
            </w:r>
          </w:p>
          <w:p>
            <w:pPr>
              <w:pStyle w:val="46"/>
              <w:numPr>
                <w:ilvl w:val="0"/>
                <w:numId w:val="6"/>
              </w:numPr>
              <w:spacing w:line="240" w:lineRule="auto"/>
              <w:ind w:left="480" w:firstLine="109" w:firstLineChars="52"/>
              <w:rPr>
                <w:rFonts w:hAnsi="宋体" w:cs="Times New Roman"/>
                <w:kern w:val="0"/>
                <w:sz w:val="21"/>
                <w:szCs w:val="21"/>
              </w:rPr>
            </w:pPr>
            <w:r>
              <w:rPr>
                <w:rFonts w:hAnsi="宋体" w:cs="Times New Roman"/>
                <w:kern w:val="0"/>
                <w:sz w:val="21"/>
                <w:szCs w:val="21"/>
              </w:rPr>
              <w:t>手术麻醉闭环</w:t>
            </w:r>
          </w:p>
          <w:p>
            <w:pPr>
              <w:pStyle w:val="46"/>
              <w:numPr>
                <w:ilvl w:val="0"/>
                <w:numId w:val="6"/>
              </w:numPr>
              <w:spacing w:line="240" w:lineRule="auto"/>
              <w:ind w:left="480" w:firstLine="109" w:firstLineChars="52"/>
              <w:rPr>
                <w:rFonts w:hAnsi="宋体" w:cs="Times New Roman"/>
                <w:kern w:val="0"/>
                <w:sz w:val="21"/>
                <w:szCs w:val="21"/>
              </w:rPr>
            </w:pPr>
            <w:r>
              <w:rPr>
                <w:rFonts w:hAnsi="宋体" w:cs="Times New Roman"/>
                <w:kern w:val="0"/>
                <w:sz w:val="21"/>
                <w:szCs w:val="21"/>
              </w:rPr>
              <w:t>检验标本闭</w:t>
            </w:r>
            <w:r>
              <w:rPr>
                <w:rFonts w:hint="eastAsia" w:hAnsi="宋体" w:cs="Times New Roman"/>
                <w:kern w:val="0"/>
                <w:sz w:val="21"/>
                <w:szCs w:val="21"/>
              </w:rPr>
              <w:t>环</w:t>
            </w:r>
          </w:p>
          <w:p>
            <w:pPr>
              <w:pStyle w:val="46"/>
              <w:numPr>
                <w:ilvl w:val="0"/>
                <w:numId w:val="6"/>
              </w:numPr>
              <w:spacing w:line="240" w:lineRule="auto"/>
              <w:ind w:left="480" w:firstLine="109" w:firstLineChars="52"/>
              <w:rPr>
                <w:rFonts w:hAnsi="宋体" w:cs="Times New Roman"/>
                <w:kern w:val="0"/>
                <w:sz w:val="21"/>
                <w:szCs w:val="21"/>
              </w:rPr>
            </w:pPr>
            <w:r>
              <w:rPr>
                <w:rFonts w:hint="eastAsia" w:hAnsi="宋体" w:cs="Times New Roman"/>
                <w:kern w:val="0"/>
                <w:sz w:val="21"/>
                <w:szCs w:val="21"/>
              </w:rPr>
              <w:t>危急值闭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互联互通标准服务建设</w:t>
            </w: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医院互联互通四甲已建设有</w:t>
            </w:r>
            <w:r>
              <w:rPr>
                <w:rFonts w:hAnsi="宋体" w:cs="Times New Roman"/>
                <w:kern w:val="0"/>
                <w:sz w:val="21"/>
                <w:szCs w:val="21"/>
              </w:rPr>
              <w:t>46个标准服务，按照五乙要求需兼容现有信息平台</w:t>
            </w:r>
            <w:r>
              <w:rPr>
                <w:rFonts w:hAnsi="宋体" w:cs="Times New Roman"/>
                <w:b/>
                <w:bCs/>
                <w:kern w:val="0"/>
                <w:sz w:val="21"/>
                <w:szCs w:val="21"/>
              </w:rPr>
              <w:t>新建设</w:t>
            </w:r>
            <w:r>
              <w:rPr>
                <w:rFonts w:hAnsi="宋体" w:cs="Times New Roman"/>
                <w:kern w:val="0"/>
                <w:sz w:val="21"/>
                <w:szCs w:val="21"/>
              </w:rPr>
              <w:t>23个标准服务:状态信息交互服务(11个)，术语注册、查询服务(3个)，预约信息交互服务(9个)。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tbl>
            <w:tblPr>
              <w:tblStyle w:val="26"/>
              <w:tblW w:w="4964" w:type="dxa"/>
              <w:tblInd w:w="171" w:type="dxa"/>
              <w:shd w:val="clear" w:color="auto" w:fill="auto"/>
              <w:tblLayout w:type="fixed"/>
              <w:tblCellMar>
                <w:top w:w="0" w:type="dxa"/>
                <w:left w:w="108" w:type="dxa"/>
                <w:bottom w:w="0" w:type="dxa"/>
                <w:right w:w="108" w:type="dxa"/>
              </w:tblCellMar>
            </w:tblPr>
            <w:tblGrid>
              <w:gridCol w:w="2413"/>
              <w:gridCol w:w="1414"/>
              <w:gridCol w:w="1137"/>
            </w:tblGrid>
            <w:tr>
              <w:tblPrEx>
                <w:shd w:val="clear" w:color="auto" w:fill="auto"/>
                <w:tblCellMar>
                  <w:top w:w="0" w:type="dxa"/>
                  <w:left w:w="108" w:type="dxa"/>
                  <w:bottom w:w="0" w:type="dxa"/>
                  <w:right w:w="108" w:type="dxa"/>
                </w:tblCellMar>
              </w:tblPrEx>
              <w:trPr>
                <w:trHeight w:val="285"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textAlignment w:val="center"/>
                    <w:rPr>
                      <w:rFonts w:hAnsi="宋体" w:cs="宋体"/>
                      <w:color w:val="000000"/>
                      <w:kern w:val="0"/>
                      <w:sz w:val="18"/>
                      <w:szCs w:val="18"/>
                    </w:rPr>
                  </w:pPr>
                  <w:r>
                    <w:rPr>
                      <w:rFonts w:hint="eastAsia" w:hAnsi="宋体" w:cs="宋体"/>
                      <w:color w:val="000000"/>
                      <w:kern w:val="0"/>
                      <w:sz w:val="18"/>
                      <w:szCs w:val="18"/>
                    </w:rPr>
                    <w:t>服务标准</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textAlignment w:val="center"/>
                    <w:rPr>
                      <w:rFonts w:hAnsi="宋体" w:cs="宋体"/>
                      <w:color w:val="000000"/>
                      <w:kern w:val="0"/>
                      <w:sz w:val="18"/>
                      <w:szCs w:val="18"/>
                    </w:rPr>
                  </w:pPr>
                  <w:r>
                    <w:rPr>
                      <w:rFonts w:hint="eastAsia" w:hAnsi="宋体" w:cs="宋体"/>
                      <w:color w:val="000000"/>
                      <w:kern w:val="0"/>
                      <w:sz w:val="18"/>
                      <w:szCs w:val="18"/>
                    </w:rPr>
                    <w:t>服务指标</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建设方式</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第2部分：个人信息注册、查询服务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个人信息注册服务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第2部分：个人信息注册、查询服务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个人信息更新服务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第2部分：个人信息注册、查询服务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个人信息查询服务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第2部分：个人信息注册、查询服务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个人信息合并服务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第3部分：医疗卫生机构注册、查询服务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医疗卫生机构（科室）信息注册服务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第3部分：医疗卫生机构注册、查询服务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医疗卫生机构（科室）信息更新服务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第3部分：医疗卫生机构注册、查询服务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医疗卫生机构（科室）信息查询服务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第4部分：医疗卫生人员注册、查询服务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医疗卫生人员信息注册服务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第4部分：医疗卫生人员注册、查询服务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医疗卫生人员信息更新服务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第4部分：医疗卫生人员注册、查询服务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医疗卫生人员信息查询服务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第6部分：文档注册、查询服务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电子病历文档注册服务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第6部分：文档注册、查询服务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电子病历文档调阅服务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第6部分：文档注册、查询服务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电子病历文档检索服务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就诊卡信息新增服务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就诊卡信息更新服务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就诊卡信息查询服务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门诊挂号信息新增服务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门诊挂号信息更新服务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门诊挂号信息查询服务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住院就诊信息登记服务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住院就诊信息更新服务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住院就诊信息查询服务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住院转科信息新增服务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住院转科信息更新服务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住院转科信息查询服务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出院登记信息新增服务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出院登记信息更新服务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第7部分：就诊信息交互服务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出院登记信息查询服务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第8部分：医嘱信息交互服务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医嘱信息新增服务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第8部分：医嘱信息交互服务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医嘱信息更新服务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第8部分：医嘱信息交互服务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医嘱信息查询服务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检验申请信息新增服务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检验申请信息更新服务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检验申请信息查询服务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检查申请信息新增服务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检查申请信息更新服务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检查申请信息查询服务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病理申请信息新增服务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病理申请信息更新服务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病理申请信息查询服务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输血申请信息新增服务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输血申请信息更新服务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输血申请信息查询服务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手术申请信息新增服务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手术申请信息更新服务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第9部分：申请单信息交互服务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手术申请信息查询服务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升级改造</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第10部分：预约信息交互服务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号源排班信息新增服务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第10部分：预约信息交互服务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号源排班信息更新服务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第10部分：预约信息交互服务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号源排班信息查询服务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第10部分：预约信息交互服务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门诊预约状态信息新增服务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第10部分：预约信息交互服务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门诊预约状态信息更新服务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第10部分：预约信息交互服务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门诊预约状态信息查询服务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第10部分：预约信息交互服务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检查预约状态信息新增服务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第10部分：预约信息交互服务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检查预约状态信息更新服务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第10部分：预约信息交互服务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检查预约状态信息查询服务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医嘱执行状态信息更新服务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医嘱执行状态信息查询服务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检查状态信息更新服务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检查状态信息查询服务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检验状态信息更新服务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检验状态信息查询服务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手术排班信息新增服务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手术排班信息更新服务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手术排班信息查询服务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手术状态信息更新服务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第11部分：状态信息交互服务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手术状态信息查询服务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第5部分：术语注册、查询服务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术语注册服务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第5部分：术语注册、查询服务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术语更新服务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r>
              <w:tblPrEx>
                <w:shd w:val="clear" w:color="auto" w:fill="auto"/>
                <w:tblCellMar>
                  <w:top w:w="0" w:type="dxa"/>
                  <w:left w:w="108" w:type="dxa"/>
                  <w:bottom w:w="0" w:type="dxa"/>
                  <w:right w:w="108" w:type="dxa"/>
                </w:tblCellMar>
              </w:tblPrEx>
              <w:trPr>
                <w:trHeight w:val="330" w:hRule="atLeast"/>
              </w:trPr>
              <w:tc>
                <w:tcPr>
                  <w:tcW w:w="24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医院信息平台交互规范 第5部分：术语注册、查询服务</w:t>
                  </w:r>
                </w:p>
              </w:tc>
              <w:tc>
                <w:tcPr>
                  <w:tcW w:w="14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hAnsi="宋体" w:cs="宋体"/>
                      <w:color w:val="000000"/>
                      <w:sz w:val="18"/>
                      <w:szCs w:val="18"/>
                    </w:rPr>
                  </w:pPr>
                  <w:r>
                    <w:rPr>
                      <w:rStyle w:val="50"/>
                      <w:rFonts w:hint="eastAsia" w:ascii="宋体" w:hAnsi="宋体" w:eastAsia="宋体" w:cs="宋体"/>
                      <w:sz w:val="18"/>
                      <w:szCs w:val="18"/>
                    </w:rPr>
                    <w:t>术语查询服务</w:t>
                  </w:r>
                </w:p>
              </w:tc>
              <w:tc>
                <w:tcPr>
                  <w:tcW w:w="11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新建</w:t>
                  </w:r>
                </w:p>
              </w:tc>
            </w:tr>
          </w:tbl>
          <w:p>
            <w:pPr>
              <w:spacing w:line="240" w:lineRule="auto"/>
              <w:ind w:firstLine="0" w:firstLineChars="0"/>
              <w:rPr>
                <w:rFonts w:hAnsi="宋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三、</w:t>
            </w:r>
            <w:r>
              <w:rPr>
                <w:rFonts w:hAnsi="宋体" w:cs="Times New Roman"/>
                <w:kern w:val="0"/>
                <w:sz w:val="21"/>
                <w:szCs w:val="21"/>
              </w:rPr>
              <w:t>基础设施建设</w:t>
            </w:r>
          </w:p>
        </w:tc>
        <w:tc>
          <w:tcPr>
            <w:tcW w:w="1511" w:type="dxa"/>
            <w:vMerge w:val="restart"/>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运营管理系统建设</w:t>
            </w: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根据互联互通五乙对于医院运营管理系统的数量要求，以及《三级医院评审标准（</w:t>
            </w:r>
            <w:r>
              <w:rPr>
                <w:rFonts w:hAnsi="宋体" w:cs="Times New Roman"/>
                <w:kern w:val="0"/>
                <w:sz w:val="21"/>
                <w:szCs w:val="21"/>
              </w:rPr>
              <w:t>2020年版）》的文件要求中的第二部分，对医疗服务能力与质量安全进行数据监测，共设74节 240 条监测指标，内容包括医院资源配置、质量、安全、服务、绩效等指标监测、DRG 评价、单病种和重点医疗技术质量控制指标。监测指标繁杂众多，需要信息化系统自动、及时获取准确数据，提高迎评效率，因此建设三级医院指标分析评审系统。</w:t>
            </w:r>
            <w:r>
              <w:rPr>
                <w:rFonts w:hint="eastAsia" w:hAnsi="宋体" w:cs="Times New Roman"/>
                <w:kern w:val="0"/>
                <w:sz w:val="21"/>
                <w:szCs w:val="21"/>
              </w:rPr>
              <w:t>主要功能要求有：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分析主题，支持按年、按月的不同时间维度的筛选，分析图表支持图件要求的考核指标；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资源配置与运行数据：包括床位配置、卫生技术人员配备、相关科室资源配置、运行指标和科研指标的指标；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医疗服务能力与医院质量安全：医院质量指标分析，支持每年更新年度国家医疗质量安全目标改进情况的指标；医疗安全指标的指标分析；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重点专业质量控制：麻醉专业、重症医学专业、急诊专业、临床检验专业、病理专业、医院感染专业、临床用血专业、呼吸内科专业、产科专业、神经系统专业、肾病专业、护理专业、药事专业的质控指标分析</w:t>
            </w:r>
            <w:r>
              <w:rPr>
                <w:rFonts w:hint="eastAsia" w:hAnsi="宋体" w:cs="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单病种（术种）质量控制：包括10大系统、51个单病种的消耗资源统计分析（包括但不限于平均住院日、费用、药品费用，不同病种以国家标准文件为准）、查看病种列表，支持对接单病种质控系统</w:t>
            </w:r>
            <w:r>
              <w:rPr>
                <w:rFonts w:hint="eastAsia" w:hAnsi="宋体" w:cs="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重点医疗技术临床应用质量控制指标分析：造血干细胞移植技术、同种胰岛素移植技术、同种异体运动系统结构性组织移植技术、同种异体角膜移植技术、同种异体皮肤移植技术、性别重置技术、质子和重离子加速器放射治疗技术、放射离子植入治疗技术、肿瘤深部热疗和全身热疗技术、肿瘤消融治疗技术、心室辅助技术、人工智能辅助诊断技术、人工智能辅助治疗技术、颅颌面畸形颅面外科矫治技术</w:t>
            </w:r>
            <w:r>
              <w:rPr>
                <w:rFonts w:hint="eastAsia" w:hAnsi="宋体" w:cs="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口腔颌面部肿瘤颅颌联合根治技术、人体器官获取组织、肝脏移植技术医疗、肾脏移植技术医疗、心脏移植技术医疗、肺脏移植技术医疗。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指标分析：支持对指标统计口径、计算公式的解释说明；支持指标血缘分析，可查询指标来源数据；支持对相关指标的变化情况分析；支持指标多维分析，包括时间、院区、科室/病区等多种维度分析；支持指标数据对比功能；分析图表支持图表转换、参考线设置、排序、数据导出、下钻的功能</w:t>
            </w:r>
            <w:r>
              <w:rPr>
                <w:rFonts w:hint="eastAsia" w:hAnsi="宋体" w:cs="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restart"/>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四、</w:t>
            </w:r>
            <w:r>
              <w:rPr>
                <w:rFonts w:hAnsi="宋体" w:cs="Times New Roman"/>
                <w:kern w:val="0"/>
                <w:sz w:val="21"/>
                <w:szCs w:val="21"/>
              </w:rPr>
              <w:t>互联互通应用效果建设</w:t>
            </w:r>
          </w:p>
        </w:tc>
        <w:tc>
          <w:tcPr>
            <w:tcW w:w="1511" w:type="dxa"/>
            <w:vMerge w:val="restart"/>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公众服务应用系统建设</w:t>
            </w: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公众服务包含患者自助终端、患者公众服务、居民健康卡，需基于医院信息平台在四甲的基础上对标互联互通五乙进行改造。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患者自助终端，四甲指标:</w:t>
            </w:r>
          </w:p>
          <w:p>
            <w:pPr>
              <w:pStyle w:val="46"/>
              <w:numPr>
                <w:ilvl w:val="0"/>
                <w:numId w:val="7"/>
              </w:numPr>
              <w:spacing w:line="240" w:lineRule="auto"/>
              <w:ind w:left="37" w:hanging="37" w:firstLineChars="0"/>
              <w:rPr>
                <w:rFonts w:hAnsi="宋体" w:cs="Times New Roman"/>
                <w:kern w:val="0"/>
                <w:sz w:val="21"/>
                <w:szCs w:val="21"/>
              </w:rPr>
            </w:pPr>
            <w:r>
              <w:rPr>
                <w:rFonts w:hint="eastAsia" w:hAnsi="宋体" w:cs="宋体"/>
                <w:color w:val="000000"/>
                <w:kern w:val="0"/>
                <w:sz w:val="21"/>
                <w:szCs w:val="21"/>
              </w:rPr>
              <w:t>自助挂号② 自助报到③ 处方/费用自助查询</w:t>
            </w:r>
            <w:r>
              <w:rPr>
                <w:rFonts w:hint="eastAsia" w:hAnsi="宋体" w:cs="宋体"/>
                <w:color w:val="000000"/>
                <w:kern w:val="0"/>
                <w:sz w:val="21"/>
                <w:szCs w:val="21"/>
              </w:rPr>
              <w:br w:type="textWrapping"/>
            </w:r>
            <w:r>
              <w:rPr>
                <w:rFonts w:hint="eastAsia" w:hAnsi="宋体" w:cs="宋体"/>
                <w:color w:val="000000"/>
                <w:kern w:val="0"/>
                <w:sz w:val="21"/>
                <w:szCs w:val="21"/>
              </w:rPr>
              <w:t xml:space="preserve">④ 医疗服务价格自助查询⑤ 检验检查报告自助打印  </w:t>
            </w:r>
            <w:r>
              <w:rPr>
                <w:rFonts w:hint="eastAsia" w:hAnsi="宋体" w:cs="宋体"/>
                <w:color w:val="000000"/>
                <w:kern w:val="0"/>
                <w:sz w:val="21"/>
                <w:szCs w:val="21"/>
              </w:rPr>
              <w:br w:type="textWrapping"/>
            </w:r>
            <w:r>
              <w:rPr>
                <w:rFonts w:hint="eastAsia" w:hAnsi="宋体" w:cs="宋体"/>
                <w:color w:val="000000"/>
                <w:kern w:val="0"/>
                <w:sz w:val="21"/>
                <w:szCs w:val="21"/>
              </w:rPr>
              <w:t>⑥ 胶片自助打印⑦ 单据自助打印⑧ 自助检查预约</w:t>
            </w:r>
          </w:p>
          <w:p>
            <w:pPr>
              <w:spacing w:line="240" w:lineRule="auto"/>
              <w:ind w:firstLine="0" w:firstLineChars="0"/>
              <w:rPr>
                <w:rFonts w:hAnsi="宋体" w:cs="宋体"/>
                <w:color w:val="000000"/>
                <w:kern w:val="0"/>
                <w:sz w:val="21"/>
                <w:szCs w:val="21"/>
              </w:rPr>
            </w:pPr>
            <w:r>
              <w:rPr>
                <w:rFonts w:hint="eastAsia" w:hAnsi="宋体" w:cs="宋体"/>
                <w:color w:val="000000"/>
                <w:kern w:val="0"/>
                <w:sz w:val="21"/>
                <w:szCs w:val="21"/>
              </w:rPr>
              <w:t>五乙新增指标</w:t>
            </w:r>
            <w:r>
              <w:rPr>
                <w:rFonts w:hAnsi="宋体" w:cs="宋体"/>
                <w:color w:val="000000"/>
                <w:kern w:val="0"/>
                <w:sz w:val="21"/>
                <w:szCs w:val="21"/>
              </w:rPr>
              <w:t>:</w:t>
            </w:r>
          </w:p>
          <w:p>
            <w:pPr>
              <w:pStyle w:val="46"/>
              <w:numPr>
                <w:ilvl w:val="0"/>
                <w:numId w:val="8"/>
              </w:numPr>
              <w:spacing w:line="240" w:lineRule="auto"/>
              <w:ind w:firstLineChars="0"/>
              <w:rPr>
                <w:rFonts w:hAnsi="宋体" w:cs="宋体"/>
                <w:color w:val="000000"/>
                <w:kern w:val="0"/>
                <w:sz w:val="21"/>
                <w:szCs w:val="21"/>
              </w:rPr>
            </w:pPr>
            <w:r>
              <w:rPr>
                <w:rFonts w:hint="eastAsia" w:hAnsi="宋体" w:cs="宋体"/>
                <w:color w:val="000000"/>
                <w:kern w:val="0"/>
                <w:sz w:val="21"/>
                <w:szCs w:val="21"/>
              </w:rPr>
              <w:t>电子病历自助打印②自助交费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患者公众服务</w:t>
            </w:r>
            <w:r>
              <w:rPr>
                <w:rFonts w:hAnsi="宋体" w:cs="Times New Roman"/>
                <w:kern w:val="0"/>
                <w:sz w:val="21"/>
                <w:szCs w:val="21"/>
              </w:rPr>
              <w:t>,</w:t>
            </w:r>
            <w:r>
              <w:rPr>
                <w:rFonts w:hint="eastAsia" w:hAnsi="宋体" w:cs="Times New Roman"/>
                <w:kern w:val="0"/>
                <w:sz w:val="21"/>
                <w:szCs w:val="21"/>
              </w:rPr>
              <w:t>四甲指标：</w:t>
            </w:r>
          </w:p>
          <w:p>
            <w:pPr>
              <w:spacing w:line="240" w:lineRule="auto"/>
              <w:ind w:firstLine="0" w:firstLineChars="0"/>
              <w:rPr>
                <w:rFonts w:hAnsi="宋体" w:cs="Times New Roman"/>
                <w:kern w:val="0"/>
                <w:sz w:val="21"/>
                <w:szCs w:val="21"/>
              </w:rPr>
            </w:pPr>
            <w:r>
              <w:rPr>
                <w:rFonts w:hint="eastAsia" w:hAnsi="宋体" w:cs="宋体"/>
                <w:color w:val="000000"/>
                <w:kern w:val="0"/>
                <w:sz w:val="21"/>
                <w:szCs w:val="21"/>
              </w:rPr>
              <w:t>①身份认证②预约挂号③在线交费④就诊信息查看⑤费用查看⑥检验检查结果查看⑦影像查看⑧药品配送⑨住院预交金⑩满意度评价</w:t>
            </w:r>
          </w:p>
          <w:p>
            <w:pPr>
              <w:spacing w:line="240" w:lineRule="auto"/>
              <w:ind w:firstLine="0" w:firstLineChars="0"/>
              <w:rPr>
                <w:rFonts w:hAnsi="宋体" w:cs="宋体"/>
                <w:color w:val="000000"/>
                <w:kern w:val="0"/>
                <w:sz w:val="21"/>
                <w:szCs w:val="21"/>
              </w:rPr>
            </w:pPr>
            <w:r>
              <w:rPr>
                <w:rFonts w:hint="eastAsia" w:hAnsi="宋体" w:cs="宋体"/>
                <w:color w:val="000000"/>
                <w:kern w:val="0"/>
                <w:sz w:val="21"/>
                <w:szCs w:val="21"/>
              </w:rPr>
              <w:t>五乙新增指标</w:t>
            </w:r>
            <w:r>
              <w:rPr>
                <w:rFonts w:hAnsi="宋体" w:cs="宋体"/>
                <w:color w:val="000000"/>
                <w:kern w:val="0"/>
                <w:sz w:val="21"/>
                <w:szCs w:val="21"/>
              </w:rPr>
              <w:t>:</w:t>
            </w:r>
          </w:p>
          <w:p>
            <w:pPr>
              <w:pStyle w:val="46"/>
              <w:numPr>
                <w:ilvl w:val="0"/>
                <w:numId w:val="9"/>
              </w:numPr>
              <w:spacing w:line="240" w:lineRule="auto"/>
              <w:ind w:firstLineChars="0"/>
              <w:rPr>
                <w:rFonts w:hAnsi="宋体" w:cs="Times New Roman"/>
                <w:kern w:val="0"/>
                <w:sz w:val="21"/>
                <w:szCs w:val="21"/>
              </w:rPr>
            </w:pPr>
            <w:r>
              <w:rPr>
                <w:rFonts w:hint="eastAsia" w:hAnsi="宋体" w:cs="宋体"/>
                <w:color w:val="000000"/>
                <w:kern w:val="0"/>
                <w:sz w:val="21"/>
                <w:szCs w:val="21"/>
              </w:rPr>
              <w:t>智能分诊导②院内导航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宋体"/>
                <w:color w:val="000000"/>
                <w:kern w:val="0"/>
                <w:sz w:val="21"/>
                <w:szCs w:val="21"/>
              </w:rPr>
            </w:pPr>
            <w:r>
              <w:rPr>
                <w:rFonts w:hint="eastAsia" w:hAnsi="宋体" w:cs="Times New Roman"/>
                <w:kern w:val="0"/>
                <w:sz w:val="21"/>
                <w:szCs w:val="21"/>
              </w:rPr>
              <w:t>患者公众服务状态推送，</w:t>
            </w:r>
            <w:r>
              <w:rPr>
                <w:rFonts w:hint="eastAsia" w:hAnsi="宋体" w:cs="宋体"/>
                <w:color w:val="000000"/>
                <w:kern w:val="0"/>
                <w:sz w:val="21"/>
                <w:szCs w:val="21"/>
              </w:rPr>
              <w:t>五乙指标</w:t>
            </w:r>
            <w:r>
              <w:rPr>
                <w:rFonts w:hAnsi="宋体" w:cs="宋体"/>
                <w:color w:val="000000"/>
                <w:kern w:val="0"/>
                <w:sz w:val="21"/>
                <w:szCs w:val="21"/>
              </w:rPr>
              <w:t>:</w:t>
            </w:r>
          </w:p>
          <w:p>
            <w:pPr>
              <w:spacing w:line="240" w:lineRule="auto"/>
              <w:ind w:firstLine="0" w:firstLineChars="0"/>
              <w:rPr>
                <w:rFonts w:hAnsi="宋体" w:cs="宋体"/>
                <w:color w:val="000000"/>
                <w:kern w:val="0"/>
                <w:sz w:val="21"/>
                <w:szCs w:val="21"/>
              </w:rPr>
            </w:pPr>
            <w:r>
              <w:rPr>
                <w:rFonts w:hint="eastAsia" w:hAnsi="宋体" w:cs="宋体"/>
                <w:color w:val="000000"/>
                <w:kern w:val="0"/>
                <w:sz w:val="21"/>
                <w:szCs w:val="21"/>
              </w:rPr>
              <w:t>①诊疗情况告知（如：手术通知、入院提示、出院提示，取药、报告、危急值信息等）</w:t>
            </w:r>
          </w:p>
          <w:p>
            <w:pPr>
              <w:spacing w:line="240" w:lineRule="auto"/>
              <w:ind w:firstLine="0" w:firstLineChars="0"/>
              <w:rPr>
                <w:rFonts w:hAnsi="宋体" w:cs="宋体"/>
                <w:color w:val="000000"/>
                <w:kern w:val="0"/>
                <w:sz w:val="21"/>
                <w:szCs w:val="21"/>
              </w:rPr>
            </w:pPr>
            <w:r>
              <w:rPr>
                <w:rFonts w:hint="eastAsia" w:hAnsi="宋体" w:cs="宋体"/>
                <w:color w:val="000000"/>
                <w:kern w:val="0"/>
                <w:sz w:val="21"/>
                <w:szCs w:val="21"/>
              </w:rPr>
              <w:t>②等候状态告知（如：候诊、检查、治疗等）</w:t>
            </w:r>
          </w:p>
          <w:p>
            <w:pPr>
              <w:spacing w:line="240" w:lineRule="auto"/>
              <w:ind w:firstLine="0" w:firstLineChars="0"/>
              <w:rPr>
                <w:rFonts w:hAnsi="宋体" w:cs="宋体"/>
                <w:color w:val="000000"/>
                <w:kern w:val="0"/>
                <w:sz w:val="21"/>
                <w:szCs w:val="21"/>
              </w:rPr>
            </w:pPr>
            <w:r>
              <w:rPr>
                <w:rFonts w:hint="eastAsia" w:hAnsi="宋体" w:cs="宋体"/>
                <w:color w:val="000000"/>
                <w:kern w:val="0"/>
                <w:sz w:val="21"/>
                <w:szCs w:val="21"/>
              </w:rPr>
              <w:t>③药品说明书、用药指导</w:t>
            </w:r>
          </w:p>
          <w:p>
            <w:pPr>
              <w:spacing w:line="240" w:lineRule="auto"/>
              <w:ind w:firstLine="0" w:firstLineChars="0"/>
              <w:rPr>
                <w:rFonts w:hAnsi="宋体" w:cs="宋体"/>
                <w:color w:val="000000"/>
                <w:kern w:val="0"/>
                <w:sz w:val="21"/>
                <w:szCs w:val="21"/>
              </w:rPr>
            </w:pPr>
            <w:r>
              <w:rPr>
                <w:rFonts w:hint="eastAsia" w:hAnsi="宋体" w:cs="宋体"/>
                <w:color w:val="000000"/>
                <w:kern w:val="0"/>
                <w:sz w:val="21"/>
                <w:szCs w:val="21"/>
              </w:rPr>
              <w:t>④检查注意事项</w:t>
            </w:r>
          </w:p>
          <w:p>
            <w:pPr>
              <w:spacing w:line="240" w:lineRule="auto"/>
              <w:ind w:firstLine="0" w:firstLineChars="0"/>
              <w:rPr>
                <w:rFonts w:hAnsi="宋体" w:cs="宋体"/>
                <w:color w:val="000000"/>
                <w:kern w:val="0"/>
                <w:sz w:val="21"/>
                <w:szCs w:val="21"/>
              </w:rPr>
            </w:pPr>
            <w:r>
              <w:rPr>
                <w:rFonts w:hint="eastAsia" w:hAnsi="宋体" w:cs="宋体"/>
                <w:color w:val="000000"/>
                <w:kern w:val="0"/>
                <w:sz w:val="21"/>
                <w:szCs w:val="21"/>
              </w:rPr>
              <w:t>⑤医学知识宣教</w:t>
            </w:r>
          </w:p>
          <w:p>
            <w:pPr>
              <w:spacing w:line="240" w:lineRule="auto"/>
              <w:ind w:firstLine="0" w:firstLineChars="0"/>
              <w:rPr>
                <w:rFonts w:hAnsi="宋体" w:cs="Times New Roman"/>
                <w:kern w:val="0"/>
                <w:sz w:val="21"/>
                <w:szCs w:val="21"/>
              </w:rPr>
            </w:pPr>
            <w:r>
              <w:rPr>
                <w:rFonts w:hint="eastAsia" w:hAnsi="宋体" w:cs="宋体"/>
                <w:color w:val="000000"/>
                <w:kern w:val="0"/>
                <w:sz w:val="21"/>
                <w:szCs w:val="21"/>
              </w:rPr>
              <w:t>⑥缴费提醒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电子健康码，支持使用居民健康卡或电子健康卡</w:t>
            </w:r>
            <w:r>
              <w:rPr>
                <w:rFonts w:hAnsi="宋体" w:cs="Times New Roman"/>
                <w:kern w:val="0"/>
                <w:sz w:val="21"/>
                <w:szCs w:val="21"/>
              </w:rPr>
              <w:t>/码就诊</w:t>
            </w:r>
            <w:r>
              <w:rPr>
                <w:rFonts w:hint="eastAsia" w:hAnsi="宋体" w:cs="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restart"/>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医疗服务医院系统建设</w:t>
            </w: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医院在四甲后重建了互联网医院，按五乙要求，需基于信息平台提供互联网诊疗服务，实现互联网诊疗服务院内系统的实时业务交互与数据对接，完善医院线上、线下服务模式互联互通和一体化管理，需要通过医院信息平台实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图文问诊,</w:t>
            </w:r>
            <w:r>
              <w:rPr>
                <w:rFonts w:hint="eastAsia" w:hAnsi="宋体" w:cs="Times New Roman"/>
                <w:kern w:val="0"/>
                <w:sz w:val="21"/>
                <w:szCs w:val="21"/>
              </w:rPr>
              <w:t xml:space="preserve"> 需要通过医院信息平台实现对接</w:t>
            </w:r>
            <w:r>
              <w:rPr>
                <w:rFonts w:hAnsi="宋体" w:cs="Times New Roman"/>
                <w:kern w:val="0"/>
                <w:sz w:val="21"/>
                <w:szCs w:val="21"/>
              </w:rPr>
              <w:t></w:t>
            </w:r>
            <w:r>
              <w:rPr>
                <w:rFonts w:hAnsi="宋体" w:cs="Times New Roman"/>
                <w:kern w:val="0"/>
                <w:sz w:val="21"/>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线上转诊,</w:t>
            </w:r>
            <w:r>
              <w:rPr>
                <w:rFonts w:hint="eastAsia" w:hAnsi="宋体" w:cs="Times New Roman"/>
                <w:kern w:val="0"/>
                <w:sz w:val="21"/>
                <w:szCs w:val="21"/>
              </w:rPr>
              <w:t xml:space="preserve"> 需要通过医院信息平台实现对接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记录病历,</w:t>
            </w:r>
            <w:r>
              <w:rPr>
                <w:rFonts w:hint="eastAsia" w:hAnsi="宋体" w:cs="Times New Roman"/>
                <w:kern w:val="0"/>
                <w:sz w:val="21"/>
                <w:szCs w:val="21"/>
              </w:rPr>
              <w:t xml:space="preserve"> 需要通过医院信息平台实现对接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开具处方,</w:t>
            </w:r>
            <w:r>
              <w:rPr>
                <w:rFonts w:hint="eastAsia" w:hAnsi="宋体" w:cs="Times New Roman"/>
                <w:kern w:val="0"/>
                <w:sz w:val="21"/>
                <w:szCs w:val="21"/>
              </w:rPr>
              <w:t xml:space="preserve"> 需要通过医院信息平台实现对接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线上随访,</w:t>
            </w:r>
            <w:r>
              <w:rPr>
                <w:rFonts w:hint="eastAsia" w:hAnsi="宋体" w:cs="Times New Roman"/>
                <w:kern w:val="0"/>
                <w:sz w:val="21"/>
                <w:szCs w:val="21"/>
              </w:rPr>
              <w:t xml:space="preserve"> 需要通过医院信息平台实现对接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电子签章认证,</w:t>
            </w:r>
            <w:r>
              <w:rPr>
                <w:rFonts w:hint="eastAsia" w:hAnsi="宋体" w:cs="Times New Roman"/>
                <w:kern w:val="0"/>
                <w:sz w:val="21"/>
                <w:szCs w:val="21"/>
              </w:rPr>
              <w:t xml:space="preserve"> 需要通过医院信息平台实现对接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线上线下一体化管理,</w:t>
            </w:r>
            <w:r>
              <w:rPr>
                <w:rFonts w:hint="eastAsia" w:hAnsi="宋体" w:cs="Times New Roman"/>
                <w:kern w:val="0"/>
                <w:sz w:val="21"/>
                <w:szCs w:val="21"/>
              </w:rPr>
              <w:t xml:space="preserve"> 需要通过医院信息平台实现对接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线上配药,</w:t>
            </w:r>
            <w:r>
              <w:rPr>
                <w:rFonts w:hint="eastAsia" w:hAnsi="宋体" w:cs="Times New Roman"/>
                <w:kern w:val="0"/>
                <w:sz w:val="21"/>
                <w:szCs w:val="21"/>
              </w:rPr>
              <w:t xml:space="preserve"> 需要通过医院信息平台实现对接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基于平台的内部联通业务</w:t>
            </w: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四甲</w:t>
            </w:r>
            <w:r>
              <w:rPr>
                <w:rFonts w:hint="eastAsia" w:hAnsi="宋体" w:cs="Times New Roman"/>
                <w:kern w:val="0"/>
                <w:sz w:val="21"/>
                <w:szCs w:val="21"/>
              </w:rPr>
              <w:t>建设</w:t>
            </w:r>
            <w:r>
              <w:rPr>
                <w:rFonts w:hAnsi="宋体" w:cs="Times New Roman"/>
                <w:kern w:val="0"/>
                <w:sz w:val="21"/>
                <w:szCs w:val="21"/>
              </w:rPr>
              <w:t>已</w:t>
            </w:r>
            <w:r>
              <w:rPr>
                <w:rFonts w:hint="eastAsia" w:hAnsi="宋体" w:cs="Times New Roman"/>
                <w:kern w:val="0"/>
                <w:sz w:val="21"/>
                <w:szCs w:val="21"/>
              </w:rPr>
              <w:t>通过医院信息平台</w:t>
            </w:r>
            <w:r>
              <w:rPr>
                <w:rFonts w:hAnsi="宋体" w:cs="Times New Roman"/>
                <w:kern w:val="0"/>
                <w:sz w:val="21"/>
                <w:szCs w:val="21"/>
              </w:rPr>
              <w:t>接入部分已建设的系统，按五乙要求：</w:t>
            </w:r>
          </w:p>
          <w:p>
            <w:pPr>
              <w:pStyle w:val="46"/>
              <w:numPr>
                <w:ilvl w:val="0"/>
                <w:numId w:val="10"/>
              </w:numPr>
              <w:spacing w:line="240" w:lineRule="auto"/>
              <w:ind w:firstLineChars="0"/>
              <w:rPr>
                <w:rFonts w:hAnsi="宋体" w:cs="Times New Roman"/>
                <w:kern w:val="0"/>
                <w:sz w:val="21"/>
                <w:szCs w:val="21"/>
              </w:rPr>
            </w:pPr>
            <w:r>
              <w:rPr>
                <w:rFonts w:hAnsi="宋体" w:cs="Times New Roman"/>
                <w:kern w:val="0"/>
                <w:sz w:val="21"/>
                <w:szCs w:val="21"/>
              </w:rPr>
              <w:t>临床服务系统至少还需要接入</w:t>
            </w:r>
            <w:r>
              <w:rPr>
                <w:rFonts w:hint="eastAsia" w:hAnsi="宋体" w:cs="Times New Roman"/>
                <w:kern w:val="0"/>
                <w:sz w:val="21"/>
                <w:szCs w:val="21"/>
              </w:rPr>
              <w:t>医院信息平台</w:t>
            </w:r>
            <w:r>
              <w:rPr>
                <w:rFonts w:hAnsi="宋体" w:cs="Times New Roman"/>
                <w:kern w:val="0"/>
                <w:sz w:val="21"/>
                <w:szCs w:val="21"/>
              </w:rPr>
              <w:t>11个</w:t>
            </w:r>
            <w:r>
              <w:rPr>
                <w:rFonts w:hint="eastAsia" w:hAnsi="宋体" w:cs="Times New Roman"/>
                <w:kern w:val="0"/>
                <w:sz w:val="21"/>
                <w:szCs w:val="21"/>
              </w:rPr>
              <w:t>，建议13个</w:t>
            </w:r>
          </w:p>
          <w:p>
            <w:pPr>
              <w:pStyle w:val="46"/>
              <w:numPr>
                <w:ilvl w:val="0"/>
                <w:numId w:val="10"/>
              </w:numPr>
              <w:spacing w:line="240" w:lineRule="auto"/>
              <w:ind w:firstLineChars="0"/>
              <w:rPr>
                <w:rFonts w:hAnsi="宋体" w:cs="Times New Roman"/>
                <w:kern w:val="0"/>
                <w:sz w:val="21"/>
                <w:szCs w:val="21"/>
              </w:rPr>
            </w:pPr>
            <w:r>
              <w:rPr>
                <w:rFonts w:hAnsi="宋体" w:cs="Times New Roman"/>
                <w:kern w:val="0"/>
                <w:sz w:val="21"/>
                <w:szCs w:val="21"/>
              </w:rPr>
              <w:t>医疗管理系统至少还需要接入</w:t>
            </w:r>
            <w:r>
              <w:rPr>
                <w:rFonts w:hint="eastAsia" w:hAnsi="宋体" w:cs="Times New Roman"/>
                <w:kern w:val="0"/>
                <w:sz w:val="21"/>
                <w:szCs w:val="21"/>
              </w:rPr>
              <w:t>医院信息平台</w:t>
            </w:r>
            <w:r>
              <w:rPr>
                <w:rFonts w:hAnsi="宋体" w:cs="Times New Roman"/>
                <w:kern w:val="0"/>
                <w:sz w:val="21"/>
                <w:szCs w:val="21"/>
              </w:rPr>
              <w:t>8个</w:t>
            </w:r>
            <w:r>
              <w:rPr>
                <w:rFonts w:hint="eastAsia" w:hAnsi="宋体" w:cs="Times New Roman"/>
                <w:kern w:val="0"/>
                <w:sz w:val="21"/>
                <w:szCs w:val="21"/>
              </w:rPr>
              <w:t>，建议8个</w:t>
            </w:r>
          </w:p>
          <w:p>
            <w:pPr>
              <w:pStyle w:val="46"/>
              <w:numPr>
                <w:ilvl w:val="0"/>
                <w:numId w:val="10"/>
              </w:numPr>
              <w:spacing w:line="240" w:lineRule="auto"/>
              <w:ind w:firstLineChars="0"/>
              <w:rPr>
                <w:rFonts w:hAnsi="宋体" w:cs="Times New Roman"/>
                <w:kern w:val="0"/>
                <w:sz w:val="21"/>
                <w:szCs w:val="21"/>
              </w:rPr>
            </w:pPr>
            <w:r>
              <w:rPr>
                <w:rFonts w:hAnsi="宋体" w:cs="Times New Roman"/>
                <w:kern w:val="0"/>
                <w:sz w:val="21"/>
                <w:szCs w:val="21"/>
              </w:rPr>
              <w:t>运营管理系统至少还需要接入4个</w:t>
            </w:r>
            <w:r>
              <w:rPr>
                <w:rFonts w:hint="eastAsia" w:hAnsi="宋体" w:cs="Times New Roman"/>
                <w:kern w:val="0"/>
                <w:sz w:val="21"/>
                <w:szCs w:val="21"/>
              </w:rPr>
              <w:t>，建议8个</w:t>
            </w:r>
          </w:p>
          <w:tbl>
            <w:tblPr>
              <w:tblStyle w:val="26"/>
              <w:tblW w:w="5000" w:type="pct"/>
              <w:tblInd w:w="0" w:type="dxa"/>
              <w:tblLayout w:type="fixed"/>
              <w:tblCellMar>
                <w:top w:w="0" w:type="dxa"/>
                <w:left w:w="108" w:type="dxa"/>
                <w:bottom w:w="0" w:type="dxa"/>
                <w:right w:w="108" w:type="dxa"/>
              </w:tblCellMar>
            </w:tblPr>
            <w:tblGrid>
              <w:gridCol w:w="965"/>
              <w:gridCol w:w="2341"/>
              <w:gridCol w:w="2266"/>
              <w:gridCol w:w="1242"/>
            </w:tblGrid>
            <w:tr>
              <w:tblPrEx>
                <w:tblCellMar>
                  <w:top w:w="0" w:type="dxa"/>
                  <w:left w:w="108" w:type="dxa"/>
                  <w:bottom w:w="0" w:type="dxa"/>
                  <w:right w:w="108" w:type="dxa"/>
                </w:tblCellMar>
              </w:tblPrEx>
              <w:trPr>
                <w:trHeight w:val="285"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类别</w:t>
                  </w:r>
                </w:p>
              </w:tc>
              <w:tc>
                <w:tcPr>
                  <w:tcW w:w="1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149" w:firstLineChars="83"/>
                    <w:textAlignment w:val="center"/>
                    <w:rPr>
                      <w:rFonts w:hAnsi="宋体" w:cs="宋体"/>
                      <w:color w:val="000000"/>
                      <w:sz w:val="18"/>
                      <w:szCs w:val="18"/>
                    </w:rPr>
                  </w:pPr>
                  <w:r>
                    <w:rPr>
                      <w:rFonts w:hint="eastAsia" w:hAnsi="宋体" w:cs="宋体"/>
                      <w:color w:val="000000"/>
                      <w:kern w:val="0"/>
                      <w:sz w:val="18"/>
                      <w:szCs w:val="18"/>
                    </w:rPr>
                    <w:t>四甲指标</w:t>
                  </w:r>
                </w:p>
              </w:tc>
              <w:tc>
                <w:tcPr>
                  <w:tcW w:w="16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360"/>
                    <w:jc w:val="center"/>
                    <w:textAlignment w:val="center"/>
                    <w:rPr>
                      <w:rFonts w:hAnsi="宋体" w:cs="宋体"/>
                      <w:color w:val="000000"/>
                      <w:sz w:val="18"/>
                      <w:szCs w:val="18"/>
                    </w:rPr>
                  </w:pPr>
                  <w:r>
                    <w:rPr>
                      <w:rFonts w:hint="eastAsia" w:hAnsi="宋体" w:cs="宋体"/>
                      <w:color w:val="000000"/>
                      <w:kern w:val="0"/>
                      <w:sz w:val="18"/>
                      <w:szCs w:val="18"/>
                    </w:rPr>
                    <w:t>五乙新增指标</w:t>
                  </w:r>
                </w:p>
              </w:tc>
              <w:tc>
                <w:tcPr>
                  <w:tcW w:w="9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说明</w:t>
                  </w:r>
                </w:p>
              </w:tc>
            </w:tr>
            <w:tr>
              <w:tblPrEx>
                <w:tblCellMar>
                  <w:top w:w="0" w:type="dxa"/>
                  <w:left w:w="108" w:type="dxa"/>
                  <w:bottom w:w="0" w:type="dxa"/>
                  <w:right w:w="108" w:type="dxa"/>
                </w:tblCellMar>
              </w:tblPrEx>
              <w:trPr>
                <w:trHeight w:val="1961"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临床服务系统</w:t>
                  </w:r>
                </w:p>
              </w:tc>
              <w:tc>
                <w:tcPr>
                  <w:tcW w:w="17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 xml:space="preserve">1.门急诊挂号系统       </w:t>
                  </w:r>
                  <w:r>
                    <w:rPr>
                      <w:rFonts w:hint="eastAsia" w:hAnsi="宋体" w:cs="宋体"/>
                      <w:color w:val="000000"/>
                      <w:kern w:val="0"/>
                      <w:sz w:val="18"/>
                      <w:szCs w:val="18"/>
                    </w:rPr>
                    <w:br w:type="textWrapping"/>
                  </w:r>
                  <w:r>
                    <w:rPr>
                      <w:rFonts w:hint="eastAsia" w:hAnsi="宋体" w:cs="宋体"/>
                      <w:color w:val="000000"/>
                      <w:kern w:val="0"/>
                      <w:sz w:val="18"/>
                      <w:szCs w:val="18"/>
                    </w:rPr>
                    <w:t>2.门诊医生工作站</w:t>
                  </w:r>
                  <w:r>
                    <w:rPr>
                      <w:rFonts w:hint="eastAsia" w:hAnsi="宋体" w:cs="宋体"/>
                      <w:color w:val="000000"/>
                      <w:kern w:val="0"/>
                      <w:sz w:val="18"/>
                      <w:szCs w:val="18"/>
                    </w:rPr>
                    <w:br w:type="textWrapping"/>
                  </w:r>
                  <w:r>
                    <w:rPr>
                      <w:rFonts w:hint="eastAsia" w:hAnsi="宋体" w:cs="宋体"/>
                      <w:color w:val="000000"/>
                      <w:kern w:val="0"/>
                      <w:sz w:val="18"/>
                      <w:szCs w:val="18"/>
                    </w:rPr>
                    <w:t xml:space="preserve">3.分诊管理系统         </w:t>
                  </w:r>
                  <w:r>
                    <w:rPr>
                      <w:rFonts w:hint="eastAsia" w:hAnsi="宋体" w:cs="宋体"/>
                      <w:color w:val="000000"/>
                      <w:kern w:val="0"/>
                      <w:sz w:val="18"/>
                      <w:szCs w:val="18"/>
                    </w:rPr>
                    <w:br w:type="textWrapping"/>
                  </w:r>
                  <w:r>
                    <w:rPr>
                      <w:rFonts w:hint="eastAsia" w:hAnsi="宋体" w:cs="宋体"/>
                      <w:color w:val="000000"/>
                      <w:kern w:val="0"/>
                      <w:sz w:val="18"/>
                      <w:szCs w:val="18"/>
                    </w:rPr>
                    <w:t>4.住院病人入出转系统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5.住院医生工作站       </w:t>
                  </w:r>
                  <w:r>
                    <w:rPr>
                      <w:rFonts w:hint="eastAsia" w:hAnsi="宋体" w:cs="宋体"/>
                      <w:color w:val="000000"/>
                      <w:kern w:val="0"/>
                      <w:sz w:val="18"/>
                      <w:szCs w:val="18"/>
                    </w:rPr>
                    <w:br w:type="textWrapping"/>
                  </w:r>
                  <w:r>
                    <w:rPr>
                      <w:rFonts w:hint="eastAsia" w:hAnsi="宋体" w:cs="宋体"/>
                      <w:color w:val="000000"/>
                      <w:kern w:val="0"/>
                      <w:sz w:val="18"/>
                      <w:szCs w:val="18"/>
                    </w:rPr>
                    <w:t>6.住院护士工作站</w:t>
                  </w:r>
                  <w:r>
                    <w:rPr>
                      <w:rFonts w:hint="eastAsia" w:hAnsi="宋体" w:cs="宋体"/>
                      <w:color w:val="000000"/>
                      <w:kern w:val="0"/>
                      <w:sz w:val="18"/>
                      <w:szCs w:val="18"/>
                    </w:rPr>
                    <w:br w:type="textWrapping"/>
                  </w:r>
                  <w:r>
                    <w:rPr>
                      <w:rFonts w:hint="eastAsia" w:hAnsi="宋体" w:cs="宋体"/>
                      <w:color w:val="000000"/>
                      <w:kern w:val="0"/>
                      <w:sz w:val="18"/>
                      <w:szCs w:val="18"/>
                    </w:rPr>
                    <w:t xml:space="preserve">7.电子化病历书写与管理系统     </w:t>
                  </w:r>
                  <w:r>
                    <w:rPr>
                      <w:rFonts w:hint="eastAsia" w:hAnsi="宋体" w:cs="宋体"/>
                      <w:color w:val="000000"/>
                      <w:kern w:val="0"/>
                      <w:sz w:val="18"/>
                      <w:szCs w:val="18"/>
                    </w:rPr>
                    <w:br w:type="textWrapping"/>
                  </w:r>
                  <w:r>
                    <w:rPr>
                      <w:rFonts w:hint="eastAsia" w:hAnsi="宋体" w:cs="宋体"/>
                      <w:color w:val="000000"/>
                      <w:kern w:val="0"/>
                      <w:sz w:val="18"/>
                      <w:szCs w:val="18"/>
                    </w:rPr>
                    <w:t>8.临床检验系统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9.医学影像系统         </w:t>
                  </w:r>
                  <w:r>
                    <w:rPr>
                      <w:rFonts w:hint="eastAsia" w:hAnsi="宋体" w:cs="宋体"/>
                      <w:color w:val="000000"/>
                      <w:kern w:val="0"/>
                      <w:sz w:val="18"/>
                      <w:szCs w:val="18"/>
                    </w:rPr>
                    <w:br w:type="textWrapping"/>
                  </w:r>
                  <w:r>
                    <w:rPr>
                      <w:rFonts w:hint="eastAsia" w:hAnsi="宋体" w:cs="宋体"/>
                      <w:color w:val="000000"/>
                      <w:kern w:val="0"/>
                      <w:sz w:val="18"/>
                      <w:szCs w:val="18"/>
                    </w:rPr>
                    <w:t>10.超声管理系统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11.内镜管理系统             </w:t>
                  </w:r>
                  <w:r>
                    <w:rPr>
                      <w:rFonts w:hint="eastAsia" w:hAnsi="宋体" w:cs="宋体"/>
                      <w:color w:val="000000"/>
                      <w:kern w:val="0"/>
                      <w:sz w:val="18"/>
                      <w:szCs w:val="18"/>
                    </w:rPr>
                    <w:br w:type="textWrapping"/>
                  </w:r>
                  <w:r>
                    <w:rPr>
                      <w:rFonts w:hint="eastAsia" w:hAnsi="宋体" w:cs="宋体"/>
                      <w:color w:val="000000"/>
                      <w:kern w:val="0"/>
                      <w:sz w:val="18"/>
                      <w:szCs w:val="18"/>
                    </w:rPr>
                    <w:t xml:space="preserve">12.手术麻醉管理系统    </w:t>
                  </w:r>
                  <w:r>
                    <w:rPr>
                      <w:rFonts w:hint="eastAsia" w:hAnsi="宋体" w:cs="宋体"/>
                      <w:color w:val="000000"/>
                      <w:kern w:val="0"/>
                      <w:sz w:val="18"/>
                      <w:szCs w:val="18"/>
                    </w:rPr>
                    <w:br w:type="textWrapping"/>
                  </w:r>
                  <w:r>
                    <w:rPr>
                      <w:rFonts w:hint="eastAsia" w:hAnsi="宋体" w:cs="宋体"/>
                      <w:color w:val="000000"/>
                      <w:kern w:val="0"/>
                      <w:sz w:val="18"/>
                      <w:szCs w:val="18"/>
                    </w:rPr>
                    <w:t>13.临床路径管理系统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14.心电管理系统         </w:t>
                  </w:r>
                  <w:r>
                    <w:rPr>
                      <w:rFonts w:hint="eastAsia" w:hAnsi="宋体" w:cs="宋体"/>
                      <w:color w:val="000000"/>
                      <w:kern w:val="0"/>
                      <w:sz w:val="18"/>
                      <w:szCs w:val="18"/>
                    </w:rPr>
                    <w:br w:type="textWrapping"/>
                  </w:r>
                  <w:r>
                    <w:rPr>
                      <w:rFonts w:hint="eastAsia" w:hAnsi="宋体" w:cs="宋体"/>
                      <w:color w:val="000000"/>
                      <w:kern w:val="0"/>
                      <w:sz w:val="18"/>
                      <w:szCs w:val="18"/>
                    </w:rPr>
                    <w:t xml:space="preserve">15.病理管理系统     </w:t>
                  </w:r>
                </w:p>
              </w:tc>
              <w:tc>
                <w:tcPr>
                  <w:tcW w:w="16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1.消毒供应系统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2.合理用药管理系统     </w:t>
                  </w:r>
                  <w:r>
                    <w:rPr>
                      <w:rFonts w:hint="eastAsia" w:hAnsi="宋体" w:cs="宋体"/>
                      <w:color w:val="000000"/>
                      <w:kern w:val="0"/>
                      <w:sz w:val="18"/>
                      <w:szCs w:val="18"/>
                    </w:rPr>
                    <w:br w:type="textWrapping"/>
                  </w:r>
                  <w:r>
                    <w:rPr>
                      <w:rFonts w:hint="eastAsia" w:hAnsi="宋体" w:cs="宋体"/>
                      <w:color w:val="000000"/>
                      <w:kern w:val="0"/>
                      <w:sz w:val="18"/>
                      <w:szCs w:val="18"/>
                    </w:rPr>
                    <w:t>3.临床药学管理系统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4.输血管理系统         </w:t>
                  </w:r>
                  <w:r>
                    <w:rPr>
                      <w:rFonts w:hint="eastAsia" w:hAnsi="宋体" w:cs="宋体"/>
                      <w:color w:val="000000"/>
                      <w:kern w:val="0"/>
                      <w:sz w:val="18"/>
                      <w:szCs w:val="18"/>
                    </w:rPr>
                    <w:br w:type="textWrapping"/>
                  </w:r>
                  <w:r>
                    <w:rPr>
                      <w:rFonts w:hint="eastAsia" w:hAnsi="宋体" w:cs="宋体"/>
                      <w:color w:val="000000"/>
                      <w:kern w:val="0"/>
                      <w:sz w:val="18"/>
                      <w:szCs w:val="18"/>
                    </w:rPr>
                    <w:t>5.重症监护系统</w:t>
                  </w:r>
                  <w:r>
                    <w:rPr>
                      <w:rFonts w:hint="eastAsia" w:hAnsi="宋体" w:cs="宋体"/>
                      <w:color w:val="000000"/>
                      <w:kern w:val="0"/>
                      <w:sz w:val="18"/>
                      <w:szCs w:val="18"/>
                    </w:rPr>
                    <w:br w:type="textWrapping"/>
                  </w:r>
                  <w:r>
                    <w:rPr>
                      <w:rFonts w:hint="eastAsia" w:hAnsi="宋体" w:cs="宋体"/>
                      <w:color w:val="000000"/>
                      <w:kern w:val="0"/>
                      <w:sz w:val="18"/>
                      <w:szCs w:val="18"/>
                    </w:rPr>
                    <w:t>6.体检管理系统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7.其他功能检查管理系统           </w:t>
                  </w:r>
                  <w:r>
                    <w:rPr>
                      <w:rFonts w:hint="eastAsia" w:hAnsi="宋体" w:cs="宋体"/>
                      <w:color w:val="000000"/>
                      <w:kern w:val="0"/>
                      <w:sz w:val="18"/>
                      <w:szCs w:val="18"/>
                    </w:rPr>
                    <w:br w:type="textWrapping"/>
                  </w:r>
                  <w:r>
                    <w:rPr>
                      <w:rFonts w:hint="eastAsia" w:hAnsi="宋体" w:cs="宋体"/>
                      <w:color w:val="000000"/>
                      <w:kern w:val="0"/>
                      <w:sz w:val="18"/>
                      <w:szCs w:val="18"/>
                    </w:rPr>
                    <w:t>8.移动护理系统</w:t>
                  </w:r>
                  <w:r>
                    <w:rPr>
                      <w:rFonts w:hint="eastAsia" w:hAnsi="宋体" w:cs="宋体"/>
                      <w:color w:val="000000"/>
                      <w:kern w:val="0"/>
                      <w:sz w:val="18"/>
                      <w:szCs w:val="18"/>
                    </w:rPr>
                    <w:br w:type="textWrapping"/>
                  </w:r>
                  <w:r>
                    <w:rPr>
                      <w:rFonts w:hint="eastAsia" w:hAnsi="宋体" w:cs="宋体"/>
                      <w:color w:val="000000"/>
                      <w:kern w:val="0"/>
                      <w:sz w:val="18"/>
                      <w:szCs w:val="18"/>
                    </w:rPr>
                    <w:t>9.移动查房系统（移动医生站）</w:t>
                  </w:r>
                  <w:r>
                    <w:rPr>
                      <w:rFonts w:hint="eastAsia" w:hAnsi="宋体" w:cs="宋体"/>
                      <w:color w:val="000000"/>
                      <w:kern w:val="0"/>
                      <w:sz w:val="18"/>
                      <w:szCs w:val="18"/>
                    </w:rPr>
                    <w:br w:type="textWrapping"/>
                  </w:r>
                  <w:r>
                    <w:rPr>
                      <w:rFonts w:hint="eastAsia" w:hAnsi="宋体" w:cs="宋体"/>
                      <w:color w:val="000000"/>
                      <w:kern w:val="0"/>
                      <w:sz w:val="18"/>
                      <w:szCs w:val="18"/>
                    </w:rPr>
                    <w:t xml:space="preserve">10.输液系统              </w:t>
                  </w:r>
                  <w:r>
                    <w:rPr>
                      <w:rFonts w:hint="eastAsia" w:hAnsi="宋体" w:cs="宋体"/>
                      <w:color w:val="000000"/>
                      <w:kern w:val="0"/>
                      <w:sz w:val="18"/>
                      <w:szCs w:val="18"/>
                    </w:rPr>
                    <w:br w:type="textWrapping"/>
                  </w:r>
                  <w:r>
                    <w:rPr>
                      <w:rFonts w:hint="eastAsia" w:hAnsi="宋体" w:cs="宋体"/>
                      <w:color w:val="000000"/>
                      <w:kern w:val="0"/>
                      <w:sz w:val="18"/>
                      <w:szCs w:val="18"/>
                    </w:rPr>
                    <w:t>11.病历质控系统</w:t>
                  </w:r>
                  <w:r>
                    <w:rPr>
                      <w:rFonts w:hint="eastAsia" w:hAnsi="宋体" w:cs="宋体"/>
                      <w:color w:val="000000"/>
                      <w:kern w:val="0"/>
                      <w:sz w:val="18"/>
                      <w:szCs w:val="18"/>
                    </w:rPr>
                    <w:br w:type="textWrapping"/>
                  </w:r>
                  <w:r>
                    <w:rPr>
                      <w:rFonts w:hint="eastAsia" w:hAnsi="宋体" w:cs="宋体"/>
                      <w:color w:val="000000"/>
                      <w:kern w:val="0"/>
                      <w:sz w:val="18"/>
                      <w:szCs w:val="18"/>
                    </w:rPr>
                    <w:t>12.康复治疗系统</w:t>
                  </w:r>
                  <w:r>
                    <w:rPr>
                      <w:rFonts w:hint="eastAsia" w:hAnsi="宋体" w:cs="宋体"/>
                      <w:color w:val="000000"/>
                      <w:kern w:val="0"/>
                      <w:sz w:val="18"/>
                      <w:szCs w:val="18"/>
                    </w:rPr>
                    <w:br w:type="textWrapping"/>
                  </w:r>
                  <w:r>
                    <w:rPr>
                      <w:rFonts w:hint="eastAsia" w:hAnsi="宋体" w:cs="宋体"/>
                      <w:color w:val="000000"/>
                      <w:kern w:val="0"/>
                      <w:sz w:val="18"/>
                      <w:szCs w:val="18"/>
                    </w:rPr>
                    <w:t>13.专科电子病历系统（眼科、产科、口腔等）</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四级甲等&gt;=15 个</w:t>
                  </w:r>
                  <w:r>
                    <w:rPr>
                      <w:rFonts w:hint="eastAsia" w:hAnsi="宋体" w:cs="宋体"/>
                      <w:color w:val="000000"/>
                      <w:kern w:val="0"/>
                      <w:sz w:val="18"/>
                      <w:szCs w:val="18"/>
                    </w:rPr>
                    <w:br w:type="textWrapping"/>
                  </w:r>
                  <w:r>
                    <w:rPr>
                      <w:rFonts w:hint="eastAsia" w:hAnsi="宋体" w:cs="宋体"/>
                      <w:color w:val="000000"/>
                      <w:kern w:val="0"/>
                      <w:sz w:val="18"/>
                      <w:szCs w:val="18"/>
                    </w:rPr>
                    <w:t>五级乙等&gt;=26 个</w:t>
                  </w:r>
                </w:p>
              </w:tc>
            </w:tr>
            <w:tr>
              <w:tblPrEx>
                <w:tblCellMar>
                  <w:top w:w="0" w:type="dxa"/>
                  <w:left w:w="108" w:type="dxa"/>
                  <w:bottom w:w="0" w:type="dxa"/>
                  <w:right w:w="108" w:type="dxa"/>
                </w:tblCellMar>
              </w:tblPrEx>
              <w:trPr>
                <w:trHeight w:val="466"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医疗管理系统</w:t>
                  </w:r>
                </w:p>
              </w:tc>
              <w:tc>
                <w:tcPr>
                  <w:tcW w:w="17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 xml:space="preserve">1.门急诊收费系统          </w:t>
                  </w:r>
                  <w:r>
                    <w:rPr>
                      <w:rFonts w:hint="eastAsia" w:hAnsi="宋体" w:cs="宋体"/>
                      <w:color w:val="000000"/>
                      <w:kern w:val="0"/>
                      <w:sz w:val="18"/>
                      <w:szCs w:val="18"/>
                    </w:rPr>
                    <w:br w:type="textWrapping"/>
                  </w:r>
                  <w:r>
                    <w:rPr>
                      <w:rFonts w:hint="eastAsia" w:hAnsi="宋体" w:cs="宋体"/>
                      <w:color w:val="000000"/>
                      <w:kern w:val="0"/>
                      <w:sz w:val="18"/>
                      <w:szCs w:val="18"/>
                    </w:rPr>
                    <w:t>2.住院收费系统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3.院感/传染病管理系统     </w:t>
                  </w:r>
                  <w:r>
                    <w:rPr>
                      <w:rFonts w:hint="eastAsia" w:hAnsi="宋体" w:cs="宋体"/>
                      <w:color w:val="000000"/>
                      <w:kern w:val="0"/>
                      <w:sz w:val="18"/>
                      <w:szCs w:val="18"/>
                    </w:rPr>
                    <w:br w:type="textWrapping"/>
                  </w:r>
                  <w:r>
                    <w:rPr>
                      <w:rFonts w:hint="eastAsia" w:hAnsi="宋体" w:cs="宋体"/>
                      <w:color w:val="000000"/>
                      <w:kern w:val="0"/>
                      <w:sz w:val="18"/>
                      <w:szCs w:val="18"/>
                    </w:rPr>
                    <w:t xml:space="preserve">4.病案管理系统            </w:t>
                  </w:r>
                  <w:r>
                    <w:rPr>
                      <w:rFonts w:hint="eastAsia" w:hAnsi="宋体" w:cs="宋体"/>
                      <w:color w:val="000000"/>
                      <w:kern w:val="0"/>
                      <w:sz w:val="18"/>
                      <w:szCs w:val="18"/>
                    </w:rPr>
                    <w:br w:type="textWrapping"/>
                  </w:r>
                  <w:r>
                    <w:rPr>
                      <w:rFonts w:hint="eastAsia" w:hAnsi="宋体" w:cs="宋体"/>
                      <w:color w:val="000000"/>
                      <w:kern w:val="0"/>
                      <w:sz w:val="18"/>
                      <w:szCs w:val="18"/>
                    </w:rPr>
                    <w:t xml:space="preserve">5.导诊管理系统  </w:t>
                  </w:r>
                  <w:r>
                    <w:rPr>
                      <w:rFonts w:hint="eastAsia" w:hAnsi="宋体" w:cs="宋体"/>
                      <w:color w:val="000000"/>
                      <w:kern w:val="0"/>
                      <w:sz w:val="18"/>
                      <w:szCs w:val="18"/>
                    </w:rPr>
                    <w:br w:type="textWrapping"/>
                  </w:r>
                  <w:r>
                    <w:rPr>
                      <w:rFonts w:hint="eastAsia" w:hAnsi="宋体" w:cs="宋体"/>
                      <w:color w:val="000000"/>
                      <w:kern w:val="0"/>
                      <w:sz w:val="18"/>
                      <w:szCs w:val="18"/>
                    </w:rPr>
                    <w:t>6.预约管理系统</w:t>
                  </w:r>
                  <w:r>
                    <w:rPr>
                      <w:rFonts w:hint="eastAsia" w:hAnsi="宋体" w:cs="宋体"/>
                      <w:color w:val="000000"/>
                      <w:kern w:val="0"/>
                      <w:sz w:val="18"/>
                      <w:szCs w:val="18"/>
                    </w:rPr>
                    <w:br w:type="textWrapping"/>
                  </w:r>
                  <w:r>
                    <w:rPr>
                      <w:rFonts w:hint="eastAsia" w:hAnsi="宋体" w:cs="宋体"/>
                      <w:color w:val="000000"/>
                      <w:kern w:val="0"/>
                      <w:sz w:val="18"/>
                      <w:szCs w:val="18"/>
                    </w:rPr>
                    <w:t>7.互联网医院管理系统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8.静脉药物配置管理系统    </w:t>
                  </w:r>
                  <w:r>
                    <w:rPr>
                      <w:rFonts w:hint="eastAsia" w:hAnsi="宋体" w:cs="宋体"/>
                      <w:color w:val="000000"/>
                      <w:kern w:val="0"/>
                      <w:sz w:val="18"/>
                      <w:szCs w:val="18"/>
                    </w:rPr>
                    <w:br w:type="textWrapping"/>
                  </w:r>
                  <w:r>
                    <w:rPr>
                      <w:rFonts w:hint="eastAsia" w:hAnsi="宋体" w:cs="宋体"/>
                      <w:color w:val="000000"/>
                      <w:kern w:val="0"/>
                      <w:sz w:val="18"/>
                      <w:szCs w:val="18"/>
                    </w:rPr>
                    <w:t xml:space="preserve">9.手术分级管理系统        </w:t>
                  </w:r>
                  <w:r>
                    <w:rPr>
                      <w:rFonts w:hint="eastAsia" w:hAnsi="宋体" w:cs="宋体"/>
                      <w:color w:val="000000"/>
                      <w:kern w:val="0"/>
                      <w:sz w:val="18"/>
                      <w:szCs w:val="18"/>
                    </w:rPr>
                    <w:br w:type="textWrapping"/>
                  </w:r>
                  <w:r>
                    <w:rPr>
                      <w:rFonts w:hint="eastAsia" w:hAnsi="宋体" w:cs="宋体"/>
                      <w:color w:val="000000"/>
                      <w:kern w:val="0"/>
                      <w:sz w:val="18"/>
                      <w:szCs w:val="18"/>
                    </w:rPr>
                    <w:t xml:space="preserve">10.医保管理系统            </w:t>
                  </w:r>
                </w:p>
              </w:tc>
              <w:tc>
                <w:tcPr>
                  <w:tcW w:w="16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 xml:space="preserve">1.护理管理系统             </w:t>
                  </w:r>
                  <w:r>
                    <w:rPr>
                      <w:rFonts w:hint="eastAsia" w:hAnsi="宋体" w:cs="宋体"/>
                      <w:color w:val="000000"/>
                      <w:kern w:val="0"/>
                      <w:sz w:val="18"/>
                      <w:szCs w:val="18"/>
                    </w:rPr>
                    <w:br w:type="textWrapping"/>
                  </w:r>
                  <w:r>
                    <w:rPr>
                      <w:rFonts w:hint="eastAsia" w:hAnsi="宋体" w:cs="宋体"/>
                      <w:color w:val="000000"/>
                      <w:kern w:val="0"/>
                      <w:sz w:val="18"/>
                      <w:szCs w:val="18"/>
                    </w:rPr>
                    <w:t>2.医务管理系统</w:t>
                  </w:r>
                  <w:r>
                    <w:rPr>
                      <w:rFonts w:hint="eastAsia" w:hAnsi="宋体" w:cs="宋体"/>
                      <w:color w:val="000000"/>
                      <w:kern w:val="0"/>
                      <w:sz w:val="18"/>
                      <w:szCs w:val="18"/>
                    </w:rPr>
                    <w:br w:type="textWrapping"/>
                  </w:r>
                  <w:r>
                    <w:rPr>
                      <w:rFonts w:hint="eastAsia" w:hAnsi="宋体" w:cs="宋体"/>
                      <w:color w:val="000000"/>
                      <w:kern w:val="0"/>
                      <w:sz w:val="18"/>
                      <w:szCs w:val="18"/>
                    </w:rPr>
                    <w:t>3.科研管理系统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4.危急值管理系统 </w:t>
                  </w:r>
                  <w:r>
                    <w:rPr>
                      <w:rFonts w:hint="eastAsia" w:hAnsi="宋体" w:cs="宋体"/>
                      <w:color w:val="000000"/>
                      <w:kern w:val="0"/>
                      <w:sz w:val="18"/>
                      <w:szCs w:val="18"/>
                    </w:rPr>
                    <w:br w:type="textWrapping"/>
                  </w:r>
                  <w:r>
                    <w:rPr>
                      <w:rFonts w:hint="eastAsia" w:hAnsi="宋体" w:cs="宋体"/>
                      <w:color w:val="000000"/>
                      <w:kern w:val="0"/>
                      <w:sz w:val="18"/>
                      <w:szCs w:val="18"/>
                    </w:rPr>
                    <w:t xml:space="preserve">5.抗菌药物管理系统    </w:t>
                  </w:r>
                  <w:r>
                    <w:rPr>
                      <w:rFonts w:hint="eastAsia" w:hAnsi="宋体" w:cs="宋体"/>
                      <w:color w:val="000000"/>
                      <w:kern w:val="0"/>
                      <w:sz w:val="18"/>
                      <w:szCs w:val="18"/>
                    </w:rPr>
                    <w:br w:type="textWrapping"/>
                  </w:r>
                  <w:r>
                    <w:rPr>
                      <w:rFonts w:hint="eastAsia" w:hAnsi="宋体" w:cs="宋体"/>
                      <w:color w:val="000000"/>
                      <w:kern w:val="0"/>
                      <w:sz w:val="18"/>
                      <w:szCs w:val="18"/>
                    </w:rPr>
                    <w:t>6.随访系统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7.电子签章系统            </w:t>
                  </w:r>
                  <w:r>
                    <w:rPr>
                      <w:rFonts w:hint="eastAsia" w:hAnsi="宋体" w:cs="宋体"/>
                      <w:color w:val="000000"/>
                      <w:kern w:val="0"/>
                      <w:sz w:val="18"/>
                      <w:szCs w:val="18"/>
                    </w:rPr>
                    <w:br w:type="textWrapping"/>
                  </w:r>
                  <w:r>
                    <w:rPr>
                      <w:rFonts w:hint="eastAsia" w:hAnsi="宋体" w:cs="宋体"/>
                      <w:color w:val="000000"/>
                      <w:kern w:val="0"/>
                      <w:sz w:val="18"/>
                      <w:szCs w:val="18"/>
                    </w:rPr>
                    <w:t>8.食源性疾病上报系统接</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四级甲等&gt;=10 个</w:t>
                  </w:r>
                  <w:r>
                    <w:rPr>
                      <w:rFonts w:hint="eastAsia" w:hAnsi="宋体" w:cs="宋体"/>
                      <w:color w:val="000000"/>
                      <w:kern w:val="0"/>
                      <w:sz w:val="18"/>
                      <w:szCs w:val="18"/>
                    </w:rPr>
                    <w:br w:type="textWrapping"/>
                  </w:r>
                  <w:r>
                    <w:rPr>
                      <w:rFonts w:hint="eastAsia" w:hAnsi="宋体" w:cs="宋体"/>
                      <w:color w:val="000000"/>
                      <w:kern w:val="0"/>
                      <w:sz w:val="18"/>
                      <w:szCs w:val="18"/>
                    </w:rPr>
                    <w:t>五级乙等&gt;=18 个</w:t>
                  </w:r>
                </w:p>
              </w:tc>
            </w:tr>
            <w:tr>
              <w:tblPrEx>
                <w:tblCellMar>
                  <w:top w:w="0" w:type="dxa"/>
                  <w:left w:w="108" w:type="dxa"/>
                  <w:bottom w:w="0" w:type="dxa"/>
                  <w:right w:w="108" w:type="dxa"/>
                </w:tblCellMar>
              </w:tblPrEx>
              <w:trPr>
                <w:trHeight w:val="22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hAnsi="宋体" w:cs="宋体"/>
                      <w:color w:val="000000"/>
                      <w:sz w:val="18"/>
                      <w:szCs w:val="18"/>
                    </w:rPr>
                  </w:pPr>
                  <w:r>
                    <w:rPr>
                      <w:rFonts w:hint="eastAsia" w:hAnsi="宋体" w:cs="宋体"/>
                      <w:color w:val="000000"/>
                      <w:kern w:val="0"/>
                      <w:sz w:val="18"/>
                      <w:szCs w:val="18"/>
                    </w:rPr>
                    <w:t>运营管理系统</w:t>
                  </w:r>
                </w:p>
              </w:tc>
              <w:tc>
                <w:tcPr>
                  <w:tcW w:w="17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 xml:space="preserve">1.人力资源管理系统        </w:t>
                  </w:r>
                  <w:r>
                    <w:rPr>
                      <w:rFonts w:hint="eastAsia" w:hAnsi="宋体" w:cs="宋体"/>
                      <w:color w:val="000000"/>
                      <w:kern w:val="0"/>
                      <w:sz w:val="18"/>
                      <w:szCs w:val="18"/>
                    </w:rPr>
                    <w:br w:type="textWrapping"/>
                  </w:r>
                  <w:r>
                    <w:rPr>
                      <w:rFonts w:hint="eastAsia" w:hAnsi="宋体" w:cs="宋体"/>
                      <w:color w:val="000000"/>
                      <w:kern w:val="0"/>
                      <w:sz w:val="18"/>
                      <w:szCs w:val="18"/>
                    </w:rPr>
                    <w:t>2.财务管理系统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3.药品管理系统               </w:t>
                  </w:r>
                  <w:r>
                    <w:rPr>
                      <w:rFonts w:hint="eastAsia" w:hAnsi="宋体" w:cs="宋体"/>
                      <w:color w:val="000000"/>
                      <w:kern w:val="0"/>
                      <w:sz w:val="18"/>
                      <w:szCs w:val="18"/>
                    </w:rPr>
                    <w:br w:type="textWrapping"/>
                  </w:r>
                  <w:r>
                    <w:rPr>
                      <w:rFonts w:hint="eastAsia" w:hAnsi="宋体" w:cs="宋体"/>
                      <w:color w:val="000000"/>
                      <w:kern w:val="0"/>
                      <w:sz w:val="18"/>
                      <w:szCs w:val="18"/>
                    </w:rPr>
                    <w:t>4.卫生材料管理系统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5.物资供应管理系统        </w:t>
                  </w:r>
                  <w:r>
                    <w:rPr>
                      <w:rFonts w:hint="eastAsia" w:hAnsi="宋体" w:cs="宋体"/>
                      <w:color w:val="000000"/>
                      <w:kern w:val="0"/>
                      <w:sz w:val="18"/>
                      <w:szCs w:val="18"/>
                    </w:rPr>
                    <w:br w:type="textWrapping"/>
                  </w:r>
                  <w:r>
                    <w:rPr>
                      <w:rFonts w:hint="eastAsia" w:hAnsi="宋体" w:cs="宋体"/>
                      <w:color w:val="000000"/>
                      <w:kern w:val="0"/>
                      <w:sz w:val="18"/>
                      <w:szCs w:val="18"/>
                    </w:rPr>
                    <w:t xml:space="preserve">6.OA办公系统             </w:t>
                  </w:r>
                </w:p>
              </w:tc>
              <w:tc>
                <w:tcPr>
                  <w:tcW w:w="16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1.医疗设备管理系统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2.固定资产管理系统  </w:t>
                  </w:r>
                  <w:r>
                    <w:rPr>
                      <w:rFonts w:hint="eastAsia" w:hAnsi="宋体" w:cs="宋体"/>
                      <w:color w:val="000000"/>
                      <w:kern w:val="0"/>
                      <w:sz w:val="18"/>
                      <w:szCs w:val="18"/>
                    </w:rPr>
                    <w:br w:type="textWrapping"/>
                  </w:r>
                  <w:r>
                    <w:rPr>
                      <w:rFonts w:hint="eastAsia" w:hAnsi="宋体" w:cs="宋体"/>
                      <w:color w:val="000000"/>
                      <w:kern w:val="0"/>
                      <w:sz w:val="18"/>
                      <w:szCs w:val="18"/>
                    </w:rPr>
                    <w:t>3.预算管理系统</w:t>
                  </w:r>
                  <w:r>
                    <w:rPr>
                      <w:rFonts w:hint="eastAsia" w:hAnsi="宋体" w:cs="宋体"/>
                      <w:color w:val="000000"/>
                      <w:kern w:val="0"/>
                      <w:sz w:val="18"/>
                      <w:szCs w:val="18"/>
                    </w:rPr>
                    <w:br w:type="textWrapping"/>
                  </w:r>
                  <w:r>
                    <w:rPr>
                      <w:rFonts w:hint="eastAsia" w:hAnsi="宋体" w:cs="宋体"/>
                      <w:color w:val="000000"/>
                      <w:kern w:val="0"/>
                      <w:sz w:val="18"/>
                      <w:szCs w:val="18"/>
                    </w:rPr>
                    <w:t xml:space="preserve">4.绩效管理系统            </w:t>
                  </w:r>
                  <w:r>
                    <w:rPr>
                      <w:rFonts w:hint="eastAsia" w:hAnsi="宋体" w:cs="宋体"/>
                      <w:color w:val="000000"/>
                      <w:kern w:val="0"/>
                      <w:sz w:val="18"/>
                      <w:szCs w:val="18"/>
                    </w:rPr>
                    <w:br w:type="textWrapping"/>
                  </w:r>
                  <w:r>
                    <w:rPr>
                      <w:rFonts w:hint="eastAsia" w:hAnsi="宋体" w:cs="宋体"/>
                      <w:color w:val="000000"/>
                      <w:kern w:val="0"/>
                      <w:sz w:val="18"/>
                      <w:szCs w:val="18"/>
                    </w:rPr>
                    <w:t xml:space="preserve">5.DRG管理系统 </w:t>
                  </w:r>
                  <w:r>
                    <w:rPr>
                      <w:rFonts w:hint="eastAsia" w:hAnsi="宋体" w:cs="宋体"/>
                      <w:color w:val="000000"/>
                      <w:kern w:val="0"/>
                      <w:sz w:val="18"/>
                      <w:szCs w:val="18"/>
                    </w:rPr>
                    <w:br w:type="textWrapping"/>
                  </w:r>
                  <w:r>
                    <w:rPr>
                      <w:rFonts w:hint="eastAsia" w:hAnsi="宋体" w:cs="宋体"/>
                      <w:color w:val="000000"/>
                      <w:kern w:val="0"/>
                      <w:sz w:val="18"/>
                      <w:szCs w:val="18"/>
                    </w:rPr>
                    <w:t>6.后勤信息管理系统</w:t>
                  </w:r>
                  <w:r>
                    <w:rPr>
                      <w:rFonts w:hint="eastAsia" w:hAnsi="宋体" w:cs="宋体"/>
                      <w:color w:val="000000"/>
                      <w:kern w:val="0"/>
                      <w:sz w:val="18"/>
                      <w:szCs w:val="18"/>
                    </w:rPr>
                    <w:br w:type="textWrapping"/>
                  </w:r>
                  <w:r>
                    <w:rPr>
                      <w:rFonts w:hint="eastAsia" w:hAnsi="宋体" w:cs="宋体"/>
                      <w:color w:val="000000"/>
                      <w:kern w:val="0"/>
                      <w:sz w:val="18"/>
                      <w:szCs w:val="18"/>
                    </w:rPr>
                    <w:t>7.投诉管理系统</w:t>
                  </w:r>
                  <w:r>
                    <w:rPr>
                      <w:rFonts w:hint="eastAsia" w:hAnsi="宋体" w:cs="宋体"/>
                      <w:color w:val="000000"/>
                      <w:kern w:val="0"/>
                      <w:sz w:val="18"/>
                      <w:szCs w:val="18"/>
                    </w:rPr>
                    <w:br w:type="textWrapping"/>
                  </w:r>
                  <w:r>
                    <w:rPr>
                      <w:rFonts w:hint="eastAsia" w:hAnsi="宋体" w:cs="宋体"/>
                      <w:color w:val="000000"/>
                      <w:kern w:val="0"/>
                      <w:sz w:val="18"/>
                      <w:szCs w:val="18"/>
                    </w:rPr>
                    <w:t>8.客户服务管理系统</w:t>
                  </w:r>
                </w:p>
              </w:tc>
              <w:tc>
                <w:tcPr>
                  <w:tcW w:w="9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Ansi="宋体" w:cs="宋体"/>
                      <w:color w:val="000000"/>
                      <w:sz w:val="18"/>
                      <w:szCs w:val="18"/>
                    </w:rPr>
                  </w:pPr>
                  <w:r>
                    <w:rPr>
                      <w:rFonts w:hint="eastAsia" w:hAnsi="宋体" w:cs="宋体"/>
                      <w:color w:val="000000"/>
                      <w:kern w:val="0"/>
                      <w:sz w:val="18"/>
                      <w:szCs w:val="18"/>
                    </w:rPr>
                    <w:t>四级甲等&gt;=6 个</w:t>
                  </w:r>
                  <w:r>
                    <w:rPr>
                      <w:rFonts w:hint="eastAsia" w:hAnsi="宋体" w:cs="宋体"/>
                      <w:color w:val="000000"/>
                      <w:kern w:val="0"/>
                      <w:sz w:val="18"/>
                      <w:szCs w:val="18"/>
                    </w:rPr>
                    <w:br w:type="textWrapping"/>
                  </w:r>
                  <w:r>
                    <w:rPr>
                      <w:rFonts w:hint="eastAsia" w:hAnsi="宋体" w:cs="宋体"/>
                      <w:color w:val="000000"/>
                      <w:kern w:val="0"/>
                      <w:sz w:val="18"/>
                      <w:szCs w:val="18"/>
                    </w:rPr>
                    <w:t>五级乙等&gt;=10 个</w:t>
                  </w:r>
                </w:p>
              </w:tc>
            </w:tr>
          </w:tbl>
          <w:p>
            <w:pPr>
              <w:spacing w:line="240" w:lineRule="auto"/>
              <w:ind w:firstLine="0" w:firstLineChars="0"/>
              <w:rPr>
                <w:rFonts w:hAnsi="宋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restart"/>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医院信息平台接入上级信息平台</w:t>
            </w: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按照五乙要求，需要接入:</w:t>
            </w:r>
            <w:r>
              <w:rPr>
                <w:rFonts w:hAnsi="宋体" w:cs="Times New Roman"/>
                <w:kern w:val="0"/>
                <w:sz w:val="21"/>
                <w:szCs w:val="21"/>
              </w:rPr>
              <w:t>上级和医院间的信息共享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按照五乙要求，需要接入：</w:t>
            </w:r>
            <w:r>
              <w:rPr>
                <w:rFonts w:hAnsi="宋体" w:cs="Times New Roman"/>
                <w:kern w:val="0"/>
                <w:sz w:val="21"/>
                <w:szCs w:val="21"/>
              </w:rPr>
              <w:t>区域一卡通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按照五乙要求，需要接入：</w:t>
            </w:r>
            <w:r>
              <w:rPr>
                <w:rFonts w:hAnsi="宋体" w:cs="Times New Roman"/>
                <w:kern w:val="0"/>
                <w:sz w:val="21"/>
                <w:szCs w:val="21"/>
              </w:rPr>
              <w:t>双向转诊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按照五乙要求，需要接入：</w:t>
            </w:r>
            <w:r>
              <w:rPr>
                <w:rFonts w:hAnsi="宋体" w:cs="Times New Roman"/>
                <w:kern w:val="0"/>
                <w:sz w:val="21"/>
                <w:szCs w:val="21"/>
              </w:rPr>
              <w:t>区域检验共享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按照五乙要求，需要接入：</w:t>
            </w:r>
            <w:r>
              <w:rPr>
                <w:rFonts w:hAnsi="宋体" w:cs="Times New Roman"/>
                <w:kern w:val="0"/>
                <w:sz w:val="21"/>
                <w:szCs w:val="21"/>
              </w:rPr>
              <w:t>区域影像共享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基于平台的内外联通业务</w:t>
            </w: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支持以电子病历共享文档或健康档案共享文档的形式与院外信息平台进行交互</w:t>
            </w:r>
            <w:r>
              <w:rPr>
                <w:rFonts w:hint="eastAsia" w:hAnsi="宋体" w:cs="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restart"/>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五、</w:t>
            </w:r>
            <w:r>
              <w:rPr>
                <w:rFonts w:hAnsi="宋体" w:cs="Times New Roman"/>
                <w:kern w:val="0"/>
                <w:sz w:val="21"/>
                <w:szCs w:val="21"/>
              </w:rPr>
              <w:t>数据基础建设</w:t>
            </w:r>
          </w:p>
        </w:tc>
        <w:tc>
          <w:tcPr>
            <w:tcW w:w="1511" w:type="dxa"/>
            <w:vMerge w:val="restart"/>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数据质量管理</w:t>
            </w:r>
          </w:p>
        </w:tc>
        <w:tc>
          <w:tcPr>
            <w:tcW w:w="7030" w:type="dxa"/>
            <w:shd w:val="clear" w:color="auto" w:fill="auto"/>
          </w:tcPr>
          <w:p>
            <w:pPr>
              <w:spacing w:line="240" w:lineRule="auto"/>
              <w:ind w:firstLine="0" w:firstLineChars="0"/>
              <w:rPr>
                <w:rFonts w:hAnsi="宋体" w:cs="Times New Roman"/>
                <w:kern w:val="0"/>
                <w:sz w:val="21"/>
                <w:szCs w:val="21"/>
              </w:rPr>
            </w:pPr>
            <w:r>
              <w:rPr>
                <w:rFonts w:hint="eastAsia" w:hAnsi="宋体" w:cs="Times New Roman"/>
                <w:kern w:val="0"/>
                <w:sz w:val="21"/>
                <w:szCs w:val="21"/>
              </w:rPr>
              <w:t>在互联互通建设中，高质量的数据是一切数据应用的基础；通过科学的数据质量管理，持续提升数据质量，从而更好地实现数据汇聚、数据共享、数据发掘、数据利用，提高数据的资产价值。</w:t>
            </w:r>
          </w:p>
          <w:p>
            <w:pPr>
              <w:spacing w:line="240" w:lineRule="auto"/>
              <w:ind w:firstLine="0" w:firstLineChars="0"/>
              <w:rPr>
                <w:rFonts w:hAnsi="宋体" w:cs="Times New Roman"/>
                <w:kern w:val="0"/>
                <w:sz w:val="21"/>
                <w:szCs w:val="21"/>
              </w:rPr>
            </w:pPr>
            <w:r>
              <w:rPr>
                <w:rFonts w:hint="eastAsia" w:hAnsi="宋体" w:cs="Times New Roman"/>
                <w:kern w:val="0"/>
                <w:sz w:val="21"/>
                <w:szCs w:val="21"/>
              </w:rPr>
              <w:t>数据质量管理主要用来解决“数据质量质控计划、现状如何、如何解决、分析提高”。通过创建数据规范、数据质控、建设质控计划、运行质控脚本，解决问题，形成质控报告；通过</w:t>
            </w:r>
            <w:r>
              <w:rPr>
                <w:rFonts w:hAnsi="宋体" w:cs="Times New Roman"/>
                <w:kern w:val="0"/>
                <w:sz w:val="21"/>
                <w:szCs w:val="21"/>
              </w:rPr>
              <w:t>PDCA机制不断提升数据质量。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1、规范管理</w:t>
            </w:r>
          </w:p>
          <w:p>
            <w:pPr>
              <w:spacing w:line="240" w:lineRule="auto"/>
              <w:ind w:firstLine="0" w:firstLineChars="0"/>
              <w:rPr>
                <w:rFonts w:hAnsi="宋体" w:cs="Times New Roman"/>
                <w:kern w:val="0"/>
                <w:sz w:val="21"/>
                <w:szCs w:val="21"/>
              </w:rPr>
            </w:pPr>
            <w:r>
              <w:rPr>
                <w:rFonts w:hAnsi="宋体" w:cs="Times New Roman"/>
                <w:kern w:val="0"/>
                <w:sz w:val="21"/>
                <w:szCs w:val="21"/>
              </w:rPr>
              <w:t>1)</w:t>
            </w:r>
            <w:r>
              <w:rPr>
                <w:rFonts w:hAnsi="宋体" w:cs="Times New Roman"/>
                <w:kern w:val="0"/>
                <w:sz w:val="21"/>
                <w:szCs w:val="21"/>
              </w:rPr>
              <w:tab/>
            </w:r>
            <w:r>
              <w:rPr>
                <w:rFonts w:hAnsi="宋体" w:cs="Times New Roman"/>
                <w:kern w:val="0"/>
                <w:sz w:val="21"/>
                <w:szCs w:val="21"/>
              </w:rPr>
              <w:t>支持质控规范的管理，包括质控规范的名称、质控规范来源、质控规范版本等。</w:t>
            </w:r>
          </w:p>
          <w:p>
            <w:pPr>
              <w:spacing w:line="240" w:lineRule="auto"/>
              <w:ind w:firstLine="0" w:firstLineChars="0"/>
              <w:rPr>
                <w:rFonts w:hAnsi="宋体" w:cs="Times New Roman"/>
                <w:kern w:val="0"/>
                <w:sz w:val="21"/>
                <w:szCs w:val="21"/>
              </w:rPr>
            </w:pPr>
            <w:r>
              <w:rPr>
                <w:rFonts w:hAnsi="宋体" w:cs="Times New Roman"/>
                <w:kern w:val="0"/>
                <w:sz w:val="21"/>
                <w:szCs w:val="21"/>
              </w:rPr>
              <w:t>2)</w:t>
            </w:r>
            <w:r>
              <w:rPr>
                <w:rFonts w:hAnsi="宋体" w:cs="Times New Roman"/>
                <w:kern w:val="0"/>
                <w:sz w:val="21"/>
                <w:szCs w:val="21"/>
              </w:rPr>
              <w:tab/>
            </w:r>
            <w:r>
              <w:rPr>
                <w:rFonts w:hAnsi="宋体" w:cs="Times New Roman"/>
                <w:kern w:val="0"/>
                <w:sz w:val="21"/>
                <w:szCs w:val="21"/>
              </w:rPr>
              <w:t>支持质控规范的新增、修改、删除及查询。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2、质控项管理</w:t>
            </w:r>
          </w:p>
          <w:p>
            <w:pPr>
              <w:spacing w:line="240" w:lineRule="auto"/>
              <w:ind w:firstLine="0" w:firstLineChars="0"/>
              <w:rPr>
                <w:rFonts w:hAnsi="宋体" w:cs="Times New Roman"/>
                <w:kern w:val="0"/>
                <w:sz w:val="21"/>
                <w:szCs w:val="21"/>
              </w:rPr>
            </w:pPr>
            <w:r>
              <w:rPr>
                <w:rFonts w:hAnsi="宋体" w:cs="Times New Roman"/>
                <w:kern w:val="0"/>
                <w:sz w:val="21"/>
                <w:szCs w:val="21"/>
              </w:rPr>
              <w:t>1)</w:t>
            </w:r>
            <w:r>
              <w:rPr>
                <w:rFonts w:hAnsi="宋体" w:cs="Times New Roman"/>
                <w:kern w:val="0"/>
                <w:sz w:val="21"/>
                <w:szCs w:val="21"/>
              </w:rPr>
              <w:tab/>
            </w:r>
            <w:r>
              <w:rPr>
                <w:rFonts w:hAnsi="宋体" w:cs="Times New Roman"/>
                <w:kern w:val="0"/>
                <w:sz w:val="21"/>
                <w:szCs w:val="21"/>
              </w:rPr>
              <w:t>支持利用层级关系管理质控规范项的情况，包括质控规范的项目代码、层级，数据质量考察项目、质控维度等。</w:t>
            </w:r>
          </w:p>
          <w:p>
            <w:pPr>
              <w:spacing w:line="240" w:lineRule="auto"/>
              <w:ind w:firstLine="0" w:firstLineChars="0"/>
              <w:rPr>
                <w:rFonts w:hAnsi="宋体" w:cs="Times New Roman"/>
                <w:kern w:val="0"/>
                <w:sz w:val="21"/>
                <w:szCs w:val="21"/>
              </w:rPr>
            </w:pPr>
            <w:r>
              <w:rPr>
                <w:rFonts w:hAnsi="宋体" w:cs="Times New Roman"/>
                <w:kern w:val="0"/>
                <w:sz w:val="21"/>
                <w:szCs w:val="21"/>
              </w:rPr>
              <w:t>2)</w:t>
            </w:r>
            <w:r>
              <w:rPr>
                <w:rFonts w:hAnsi="宋体" w:cs="Times New Roman"/>
                <w:kern w:val="0"/>
                <w:sz w:val="21"/>
                <w:szCs w:val="21"/>
              </w:rPr>
              <w:tab/>
            </w:r>
            <w:r>
              <w:rPr>
                <w:rFonts w:hAnsi="宋体" w:cs="Times New Roman"/>
                <w:kern w:val="0"/>
                <w:sz w:val="21"/>
                <w:szCs w:val="21"/>
              </w:rPr>
              <w:t>支持可视化配置质控项，包括评分方式、质控项维度、权重、严重级别、计算公式、质控脚本等。</w:t>
            </w:r>
          </w:p>
          <w:p>
            <w:pPr>
              <w:spacing w:line="240" w:lineRule="auto"/>
              <w:ind w:firstLine="0" w:firstLineChars="0"/>
              <w:rPr>
                <w:rFonts w:hAnsi="宋体" w:cs="Times New Roman"/>
                <w:kern w:val="0"/>
                <w:sz w:val="21"/>
                <w:szCs w:val="21"/>
              </w:rPr>
            </w:pPr>
            <w:r>
              <w:rPr>
                <w:rFonts w:hAnsi="宋体" w:cs="Times New Roman"/>
                <w:kern w:val="0"/>
                <w:sz w:val="21"/>
                <w:szCs w:val="21"/>
              </w:rPr>
              <w:t>3)</w:t>
            </w:r>
            <w:r>
              <w:rPr>
                <w:rFonts w:hAnsi="宋体" w:cs="Times New Roman"/>
                <w:kern w:val="0"/>
                <w:sz w:val="21"/>
                <w:szCs w:val="21"/>
              </w:rPr>
              <w:tab/>
            </w:r>
            <w:r>
              <w:rPr>
                <w:rFonts w:hAnsi="宋体" w:cs="Times New Roman"/>
                <w:kern w:val="0"/>
                <w:sz w:val="21"/>
                <w:szCs w:val="21"/>
              </w:rPr>
              <w:t>支持以Excel格式导入质控项。</w:t>
            </w:r>
          </w:p>
          <w:p>
            <w:pPr>
              <w:spacing w:line="240" w:lineRule="auto"/>
              <w:ind w:firstLine="0" w:firstLineChars="0"/>
              <w:rPr>
                <w:rFonts w:hAnsi="宋体" w:cs="Times New Roman"/>
                <w:kern w:val="0"/>
                <w:sz w:val="21"/>
                <w:szCs w:val="21"/>
              </w:rPr>
            </w:pPr>
            <w:r>
              <w:rPr>
                <w:rFonts w:hAnsi="宋体" w:cs="Times New Roman"/>
                <w:kern w:val="0"/>
                <w:sz w:val="21"/>
                <w:szCs w:val="21"/>
              </w:rPr>
              <w:t>4)</w:t>
            </w:r>
            <w:r>
              <w:rPr>
                <w:rFonts w:hAnsi="宋体" w:cs="Times New Roman"/>
                <w:kern w:val="0"/>
                <w:sz w:val="21"/>
                <w:szCs w:val="21"/>
              </w:rPr>
              <w:tab/>
            </w:r>
            <w:r>
              <w:rPr>
                <w:rFonts w:hAnsi="宋体" w:cs="Times New Roman"/>
                <w:kern w:val="0"/>
                <w:sz w:val="21"/>
                <w:szCs w:val="21"/>
              </w:rPr>
              <w:t>支持质控量的新增、编辑、禁用、启用、查询等。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3、主题管理</w:t>
            </w:r>
          </w:p>
          <w:p>
            <w:pPr>
              <w:spacing w:line="240" w:lineRule="auto"/>
              <w:ind w:firstLine="0" w:firstLineChars="0"/>
              <w:rPr>
                <w:rFonts w:hAnsi="宋体" w:cs="Times New Roman"/>
                <w:kern w:val="0"/>
                <w:sz w:val="21"/>
                <w:szCs w:val="21"/>
              </w:rPr>
            </w:pPr>
            <w:r>
              <w:rPr>
                <w:rFonts w:hAnsi="宋体" w:cs="Times New Roman"/>
                <w:kern w:val="0"/>
                <w:sz w:val="21"/>
                <w:szCs w:val="21"/>
              </w:rPr>
              <w:t>1)</w:t>
            </w:r>
            <w:r>
              <w:rPr>
                <w:rFonts w:hAnsi="宋体" w:cs="Times New Roman"/>
                <w:kern w:val="0"/>
                <w:sz w:val="21"/>
                <w:szCs w:val="21"/>
              </w:rPr>
              <w:tab/>
            </w:r>
            <w:r>
              <w:rPr>
                <w:rFonts w:hAnsi="宋体" w:cs="Times New Roman"/>
                <w:kern w:val="0"/>
                <w:sz w:val="21"/>
                <w:szCs w:val="21"/>
              </w:rPr>
              <w:t>支持根据主题的方式管理需要质控数据的规则内容，包括质控主题名称、质控规范名称及规则编码、质控规则描述、类型等。</w:t>
            </w:r>
          </w:p>
          <w:p>
            <w:pPr>
              <w:spacing w:line="240" w:lineRule="auto"/>
              <w:ind w:firstLine="0" w:firstLineChars="0"/>
              <w:rPr>
                <w:rFonts w:hAnsi="宋体" w:cs="Times New Roman"/>
                <w:kern w:val="0"/>
                <w:sz w:val="21"/>
                <w:szCs w:val="21"/>
              </w:rPr>
            </w:pPr>
            <w:r>
              <w:rPr>
                <w:rFonts w:hAnsi="宋体" w:cs="Times New Roman"/>
                <w:kern w:val="0"/>
                <w:sz w:val="21"/>
                <w:szCs w:val="21"/>
              </w:rPr>
              <w:t>2)</w:t>
            </w:r>
            <w:r>
              <w:rPr>
                <w:rFonts w:hAnsi="宋体" w:cs="Times New Roman"/>
                <w:kern w:val="0"/>
                <w:sz w:val="21"/>
                <w:szCs w:val="21"/>
              </w:rPr>
              <w:tab/>
            </w:r>
            <w:r>
              <w:rPr>
                <w:rFonts w:hAnsi="宋体" w:cs="Times New Roman"/>
                <w:kern w:val="0"/>
                <w:sz w:val="21"/>
                <w:szCs w:val="21"/>
              </w:rPr>
              <w:t>支持可视化自定义质控项质控脚本</w:t>
            </w:r>
          </w:p>
          <w:p>
            <w:pPr>
              <w:spacing w:line="240" w:lineRule="auto"/>
              <w:ind w:firstLine="0" w:firstLineChars="0"/>
              <w:rPr>
                <w:rFonts w:hAnsi="宋体" w:cs="Times New Roman"/>
                <w:kern w:val="0"/>
                <w:sz w:val="21"/>
                <w:szCs w:val="21"/>
              </w:rPr>
            </w:pPr>
            <w:r>
              <w:rPr>
                <w:rFonts w:hAnsi="宋体" w:cs="Times New Roman"/>
                <w:kern w:val="0"/>
                <w:sz w:val="21"/>
                <w:szCs w:val="21"/>
              </w:rPr>
              <w:t>3)</w:t>
            </w:r>
            <w:r>
              <w:rPr>
                <w:rFonts w:hAnsi="宋体" w:cs="Times New Roman"/>
                <w:kern w:val="0"/>
                <w:sz w:val="21"/>
                <w:szCs w:val="21"/>
              </w:rPr>
              <w:tab/>
            </w:r>
            <w:r>
              <w:rPr>
                <w:rFonts w:hAnsi="宋体" w:cs="Times New Roman"/>
                <w:kern w:val="0"/>
                <w:sz w:val="21"/>
                <w:szCs w:val="21"/>
              </w:rPr>
              <w:t>支持对于不同质控主题选择质控项、导入质控规则、克隆同类规则等。</w:t>
            </w:r>
          </w:p>
          <w:p>
            <w:pPr>
              <w:spacing w:line="240" w:lineRule="auto"/>
              <w:ind w:firstLine="0" w:firstLineChars="0"/>
              <w:rPr>
                <w:rFonts w:hAnsi="宋体" w:cs="Times New Roman"/>
                <w:kern w:val="0"/>
                <w:sz w:val="21"/>
                <w:szCs w:val="21"/>
              </w:rPr>
            </w:pPr>
            <w:r>
              <w:rPr>
                <w:rFonts w:hAnsi="宋体" w:cs="Times New Roman"/>
                <w:kern w:val="0"/>
                <w:sz w:val="21"/>
                <w:szCs w:val="21"/>
              </w:rPr>
              <w:t>4)</w:t>
            </w:r>
            <w:r>
              <w:rPr>
                <w:rFonts w:hAnsi="宋体" w:cs="Times New Roman"/>
                <w:kern w:val="0"/>
                <w:sz w:val="21"/>
                <w:szCs w:val="21"/>
              </w:rPr>
              <w:tab/>
            </w:r>
            <w:r>
              <w:rPr>
                <w:rFonts w:hAnsi="宋体" w:cs="Times New Roman"/>
                <w:kern w:val="0"/>
                <w:sz w:val="21"/>
                <w:szCs w:val="21"/>
              </w:rPr>
              <w:t>支持质控规则的编辑、单条删除、批量删除及查询。</w:t>
            </w:r>
          </w:p>
          <w:p>
            <w:pPr>
              <w:spacing w:line="240" w:lineRule="auto"/>
              <w:ind w:firstLine="0" w:firstLineChars="0"/>
              <w:rPr>
                <w:rFonts w:hAnsi="宋体" w:cs="Times New Roman"/>
                <w:kern w:val="0"/>
                <w:sz w:val="21"/>
                <w:szCs w:val="21"/>
              </w:rPr>
            </w:pPr>
            <w:r>
              <w:rPr>
                <w:rFonts w:hAnsi="宋体" w:cs="Times New Roman"/>
                <w:kern w:val="0"/>
                <w:sz w:val="21"/>
                <w:szCs w:val="21"/>
              </w:rPr>
              <w:t>5)</w:t>
            </w:r>
            <w:r>
              <w:rPr>
                <w:rFonts w:hAnsi="宋体" w:cs="Times New Roman"/>
                <w:kern w:val="0"/>
                <w:sz w:val="21"/>
                <w:szCs w:val="21"/>
              </w:rPr>
              <w:tab/>
            </w:r>
            <w:r>
              <w:rPr>
                <w:rFonts w:hAnsi="宋体" w:cs="Times New Roman"/>
                <w:kern w:val="0"/>
                <w:sz w:val="21"/>
                <w:szCs w:val="21"/>
              </w:rPr>
              <w:t>支持质控结果的查看，包括质控的主题、质控时间、质控数据的统计周期、质控规则总数、错误数；通过详情可查看具体的质控工作流的质控明细。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宋体" w:cs="Times New Roman"/>
                <w:kern w:val="0"/>
                <w:sz w:val="21"/>
                <w:szCs w:val="21"/>
              </w:rPr>
            </w:pPr>
          </w:p>
        </w:tc>
        <w:tc>
          <w:tcPr>
            <w:tcW w:w="1511" w:type="dxa"/>
            <w:vMerge w:val="continue"/>
            <w:shd w:val="clear" w:color="auto" w:fill="auto"/>
          </w:tcPr>
          <w:p>
            <w:pPr>
              <w:spacing w:line="240" w:lineRule="auto"/>
              <w:ind w:firstLine="0" w:firstLineChars="0"/>
              <w:rPr>
                <w:rFonts w:hAnsi="宋体" w:cs="Times New Roman"/>
                <w:kern w:val="0"/>
                <w:sz w:val="21"/>
                <w:szCs w:val="21"/>
              </w:rPr>
            </w:pPr>
          </w:p>
        </w:tc>
        <w:tc>
          <w:tcPr>
            <w:tcW w:w="7030" w:type="dxa"/>
            <w:shd w:val="clear" w:color="auto" w:fill="auto"/>
          </w:tcPr>
          <w:p>
            <w:pPr>
              <w:spacing w:line="240" w:lineRule="auto"/>
              <w:ind w:firstLine="0" w:firstLineChars="0"/>
              <w:rPr>
                <w:rFonts w:hAnsi="宋体" w:cs="Times New Roman"/>
                <w:kern w:val="0"/>
                <w:sz w:val="21"/>
                <w:szCs w:val="21"/>
              </w:rPr>
            </w:pPr>
            <w:r>
              <w:rPr>
                <w:rFonts w:hAnsi="宋体" w:cs="Times New Roman"/>
                <w:kern w:val="0"/>
                <w:sz w:val="21"/>
                <w:szCs w:val="21"/>
              </w:rPr>
              <w:t>4、报告管理</w:t>
            </w:r>
          </w:p>
          <w:p>
            <w:pPr>
              <w:spacing w:line="240" w:lineRule="auto"/>
              <w:ind w:firstLine="0" w:firstLineChars="0"/>
              <w:rPr>
                <w:rFonts w:hAnsi="宋体" w:cs="Times New Roman"/>
                <w:kern w:val="0"/>
                <w:sz w:val="21"/>
                <w:szCs w:val="21"/>
              </w:rPr>
            </w:pPr>
            <w:r>
              <w:rPr>
                <w:rFonts w:hAnsi="宋体" w:cs="Times New Roman"/>
                <w:kern w:val="0"/>
                <w:sz w:val="21"/>
                <w:szCs w:val="21"/>
              </w:rPr>
              <w:t>1)</w:t>
            </w:r>
            <w:r>
              <w:rPr>
                <w:rFonts w:hAnsi="宋体" w:cs="Times New Roman"/>
                <w:kern w:val="0"/>
                <w:sz w:val="21"/>
                <w:szCs w:val="21"/>
              </w:rPr>
              <w:tab/>
            </w:r>
            <w:r>
              <w:rPr>
                <w:rFonts w:hAnsi="宋体" w:cs="Times New Roman"/>
                <w:kern w:val="0"/>
                <w:sz w:val="21"/>
                <w:szCs w:val="21"/>
              </w:rPr>
              <w:t>支持质控报告配置，包括关联的质控规范名称、工作流等。</w:t>
            </w:r>
          </w:p>
          <w:p>
            <w:pPr>
              <w:spacing w:line="240" w:lineRule="auto"/>
              <w:ind w:firstLine="0" w:firstLineChars="0"/>
              <w:rPr>
                <w:rFonts w:hAnsi="宋体" w:cs="Times New Roman"/>
                <w:kern w:val="0"/>
                <w:sz w:val="21"/>
                <w:szCs w:val="21"/>
              </w:rPr>
            </w:pPr>
            <w:r>
              <w:rPr>
                <w:rFonts w:hAnsi="宋体" w:cs="Times New Roman"/>
                <w:kern w:val="0"/>
                <w:sz w:val="21"/>
                <w:szCs w:val="21"/>
              </w:rPr>
              <w:t>2)</w:t>
            </w:r>
            <w:r>
              <w:rPr>
                <w:rFonts w:hAnsi="宋体" w:cs="Times New Roman"/>
                <w:kern w:val="0"/>
                <w:sz w:val="21"/>
                <w:szCs w:val="21"/>
              </w:rPr>
              <w:tab/>
            </w:r>
            <w:r>
              <w:rPr>
                <w:rFonts w:hAnsi="宋体" w:cs="Times New Roman"/>
                <w:kern w:val="0"/>
                <w:sz w:val="21"/>
                <w:szCs w:val="21"/>
              </w:rPr>
              <w:t>支持根据质控维度、质控项、分值范围等进行质控报告结果查询，质控报告结果包括质控规范名称、业务统计周期、质控评分情况及详细的质控项得分情况。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Times New Roman" w:cs="Times New Roman"/>
                <w:kern w:val="0"/>
                <w:sz w:val="21"/>
                <w:szCs w:val="21"/>
              </w:rPr>
            </w:pPr>
          </w:p>
        </w:tc>
        <w:tc>
          <w:tcPr>
            <w:tcW w:w="1511" w:type="dxa"/>
            <w:vMerge w:val="continue"/>
            <w:shd w:val="clear" w:color="auto" w:fill="auto"/>
          </w:tcPr>
          <w:p>
            <w:pPr>
              <w:spacing w:line="240" w:lineRule="auto"/>
              <w:ind w:firstLine="0" w:firstLineChars="0"/>
              <w:rPr>
                <w:rFonts w:hAnsi="Times New Roman" w:cs="Times New Roman"/>
                <w:kern w:val="0"/>
                <w:sz w:val="21"/>
                <w:szCs w:val="21"/>
              </w:rPr>
            </w:pPr>
          </w:p>
        </w:tc>
        <w:tc>
          <w:tcPr>
            <w:tcW w:w="7030" w:type="dxa"/>
            <w:shd w:val="clear" w:color="auto" w:fill="auto"/>
          </w:tcPr>
          <w:p>
            <w:pPr>
              <w:spacing w:line="240" w:lineRule="auto"/>
              <w:ind w:firstLine="0" w:firstLineChars="0"/>
              <w:rPr>
                <w:rFonts w:hAnsi="Times New Roman" w:cs="Times New Roman"/>
                <w:kern w:val="0"/>
                <w:sz w:val="21"/>
                <w:szCs w:val="21"/>
              </w:rPr>
            </w:pPr>
            <w:r>
              <w:rPr>
                <w:rFonts w:hAnsi="Times New Roman" w:cs="Times New Roman"/>
                <w:kern w:val="0"/>
                <w:sz w:val="21"/>
                <w:szCs w:val="21"/>
              </w:rPr>
              <w:t>5、质控结果</w:t>
            </w:r>
          </w:p>
          <w:p>
            <w:pPr>
              <w:spacing w:line="240" w:lineRule="auto"/>
              <w:ind w:firstLine="0" w:firstLineChars="0"/>
              <w:rPr>
                <w:rFonts w:hAnsi="Times New Roman" w:cs="Times New Roman"/>
                <w:kern w:val="0"/>
                <w:sz w:val="21"/>
                <w:szCs w:val="21"/>
              </w:rPr>
            </w:pPr>
            <w:r>
              <w:rPr>
                <w:rFonts w:hint="eastAsia" w:hAnsi="Times New Roman" w:cs="Times New Roman"/>
                <w:kern w:val="0"/>
                <w:sz w:val="21"/>
                <w:szCs w:val="21"/>
              </w:rPr>
              <w:t>支持根据质控主题、工作流、质控时间等维度查询质控结果，质控结果包括关联的工作流、质控时间、规则总数、错误规则数及结果详情。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459" w:type="dxa"/>
            <w:vMerge w:val="continue"/>
            <w:shd w:val="clear" w:color="auto" w:fill="auto"/>
          </w:tcPr>
          <w:p>
            <w:pPr>
              <w:spacing w:line="240" w:lineRule="auto"/>
              <w:ind w:firstLine="0" w:firstLineChars="0"/>
              <w:rPr>
                <w:rFonts w:hAnsi="Times New Roman" w:cs="Times New Roman"/>
                <w:kern w:val="0"/>
                <w:sz w:val="21"/>
                <w:szCs w:val="21"/>
              </w:rPr>
            </w:pPr>
          </w:p>
        </w:tc>
        <w:tc>
          <w:tcPr>
            <w:tcW w:w="1511" w:type="dxa"/>
            <w:vMerge w:val="continue"/>
            <w:shd w:val="clear" w:color="auto" w:fill="auto"/>
          </w:tcPr>
          <w:p>
            <w:pPr>
              <w:spacing w:line="240" w:lineRule="auto"/>
              <w:ind w:firstLine="0" w:firstLineChars="0"/>
              <w:rPr>
                <w:rFonts w:hAnsi="Times New Roman" w:cs="Times New Roman"/>
                <w:kern w:val="0"/>
                <w:sz w:val="21"/>
                <w:szCs w:val="21"/>
              </w:rPr>
            </w:pPr>
          </w:p>
        </w:tc>
        <w:tc>
          <w:tcPr>
            <w:tcW w:w="7030" w:type="dxa"/>
            <w:shd w:val="clear" w:color="auto" w:fill="auto"/>
          </w:tcPr>
          <w:p>
            <w:pPr>
              <w:spacing w:line="240" w:lineRule="auto"/>
              <w:ind w:firstLine="0" w:firstLineChars="0"/>
              <w:rPr>
                <w:rFonts w:hAnsi="Times New Roman" w:cs="Times New Roman"/>
                <w:kern w:val="0"/>
                <w:sz w:val="21"/>
                <w:szCs w:val="21"/>
              </w:rPr>
            </w:pPr>
            <w:r>
              <w:rPr>
                <w:rFonts w:hAnsi="Times New Roman" w:cs="Times New Roman"/>
                <w:kern w:val="0"/>
                <w:sz w:val="21"/>
                <w:szCs w:val="21"/>
              </w:rPr>
              <w:t>6、质控运维</w:t>
            </w:r>
          </w:p>
          <w:p>
            <w:pPr>
              <w:spacing w:line="240" w:lineRule="auto"/>
              <w:ind w:firstLine="0" w:firstLineChars="0"/>
              <w:rPr>
                <w:rFonts w:hAnsi="Times New Roman" w:cs="Times New Roman"/>
                <w:kern w:val="0"/>
                <w:sz w:val="21"/>
                <w:szCs w:val="21"/>
              </w:rPr>
            </w:pPr>
            <w:r>
              <w:rPr>
                <w:rFonts w:hAnsi="Times New Roman" w:cs="Times New Roman"/>
                <w:kern w:val="0"/>
                <w:sz w:val="21"/>
                <w:szCs w:val="21"/>
              </w:rPr>
              <w:t>1)</w:t>
            </w:r>
            <w:r>
              <w:rPr>
                <w:rFonts w:hAnsi="Times New Roman" w:cs="Times New Roman"/>
                <w:kern w:val="0"/>
                <w:sz w:val="21"/>
                <w:szCs w:val="21"/>
              </w:rPr>
              <w:tab/>
            </w:r>
            <w:r>
              <w:rPr>
                <w:rFonts w:hAnsi="Times New Roman" w:cs="Times New Roman"/>
                <w:kern w:val="0"/>
                <w:sz w:val="21"/>
                <w:szCs w:val="21"/>
              </w:rPr>
              <w:t>支持质控运维管理，包括质控规范导出、规范导入、ODS规范生成等。</w:t>
            </w:r>
          </w:p>
          <w:p>
            <w:pPr>
              <w:spacing w:line="240" w:lineRule="auto"/>
              <w:ind w:firstLine="0" w:firstLineChars="0"/>
              <w:rPr>
                <w:rFonts w:hAnsi="Times New Roman" w:cs="Times New Roman"/>
                <w:kern w:val="0"/>
                <w:sz w:val="21"/>
                <w:szCs w:val="21"/>
              </w:rPr>
            </w:pPr>
            <w:r>
              <w:rPr>
                <w:rFonts w:hAnsi="Times New Roman" w:cs="Times New Roman"/>
                <w:kern w:val="0"/>
                <w:sz w:val="21"/>
                <w:szCs w:val="21"/>
              </w:rPr>
              <w:t>2)</w:t>
            </w:r>
            <w:r>
              <w:rPr>
                <w:rFonts w:hAnsi="Times New Roman" w:cs="Times New Roman"/>
                <w:kern w:val="0"/>
                <w:sz w:val="21"/>
                <w:szCs w:val="21"/>
              </w:rPr>
              <w:tab/>
            </w:r>
            <w:r>
              <w:rPr>
                <w:rFonts w:hAnsi="Times New Roman" w:cs="Times New Roman"/>
                <w:kern w:val="0"/>
                <w:sz w:val="21"/>
                <w:szCs w:val="21"/>
              </w:rPr>
              <w:t>支持一键配置生成ods质控项及运行工作流。</w:t>
            </w:r>
          </w:p>
        </w:tc>
      </w:tr>
    </w:tbl>
    <w:p>
      <w:pPr>
        <w:ind w:firstLine="0" w:firstLineChars="0"/>
      </w:pPr>
    </w:p>
    <w:p>
      <w:pPr>
        <w:pStyle w:val="2"/>
        <w:ind w:left="1" w:leftChars="-63" w:hanging="152" w:hangingChars="63"/>
      </w:pPr>
      <w:bookmarkStart w:id="1" w:name="_Toc140678626"/>
      <w:r>
        <w:rPr>
          <w:rFonts w:hint="eastAsia"/>
        </w:rPr>
        <w:t>项目交付或者实施的时间和地点等要求</w:t>
      </w:r>
      <w:bookmarkEnd w:id="1"/>
    </w:p>
    <w:p>
      <w:pPr>
        <w:pStyle w:val="3"/>
        <w:shd w:val="clear"/>
        <w:rPr>
          <w:rFonts w:hAnsiTheme="minorHAnsi" w:cstheme="minorBidi"/>
          <w:szCs w:val="22"/>
        </w:rPr>
      </w:pPr>
      <w:bookmarkStart w:id="2" w:name="_Toc140678627"/>
      <w:r>
        <w:rPr>
          <w:rFonts w:hint="eastAsia"/>
        </w:rPr>
        <w:t>服务地点</w:t>
      </w:r>
      <w:bookmarkEnd w:id="2"/>
    </w:p>
    <w:p>
      <w:pPr>
        <w:pStyle w:val="51"/>
        <w:shd w:val="clear" w:color="auto"/>
        <w:spacing w:before="0" w:beforeAutospacing="0" w:after="0" w:afterAutospacing="0" w:line="19" w:lineRule="atLeast"/>
        <w:ind w:left="562" w:right="-239"/>
        <w:jc w:val="both"/>
        <w:rPr>
          <w:rFonts w:hint="default" w:hAnsiTheme="minorHAnsi" w:cstheme="minorBidi"/>
          <w:kern w:val="2"/>
          <w:szCs w:val="22"/>
        </w:rPr>
      </w:pPr>
      <w:r>
        <w:rPr>
          <w:rFonts w:hAnsiTheme="minorHAnsi" w:cstheme="minorBidi"/>
          <w:kern w:val="2"/>
          <w:szCs w:val="22"/>
        </w:rPr>
        <w:t>广东省妇幼保健院指定地点。</w:t>
      </w:r>
    </w:p>
    <w:p>
      <w:pPr>
        <w:pStyle w:val="3"/>
        <w:shd w:val="clear"/>
      </w:pPr>
      <w:bookmarkStart w:id="3" w:name="_Toc140678628"/>
      <w:r>
        <w:rPr>
          <w:rFonts w:hint="eastAsia"/>
        </w:rPr>
        <w:t>项目工期</w:t>
      </w:r>
      <w:bookmarkEnd w:id="3"/>
    </w:p>
    <w:p>
      <w:pPr>
        <w:pStyle w:val="51"/>
        <w:shd w:val="clear" w:color="auto"/>
        <w:spacing w:before="0" w:beforeAutospacing="0" w:after="0" w:afterAutospacing="0" w:line="360" w:lineRule="auto"/>
        <w:ind w:firstLine="480" w:firstLineChars="200"/>
        <w:jc w:val="both"/>
        <w:rPr>
          <w:rFonts w:hint="default" w:hAnsiTheme="minorHAnsi" w:cstheme="minorBidi"/>
          <w:kern w:val="2"/>
          <w:szCs w:val="22"/>
        </w:rPr>
      </w:pPr>
      <w:r>
        <w:rPr>
          <w:rFonts w:hAnsiTheme="minorHAnsi" w:cstheme="minorBidi"/>
          <w:kern w:val="2"/>
          <w:szCs w:val="22"/>
        </w:rPr>
        <w:t>合同签订后</w:t>
      </w:r>
      <w:r>
        <w:rPr>
          <w:rFonts w:hint="default" w:hAnsiTheme="minorHAnsi" w:cstheme="minorBidi"/>
          <w:kern w:val="2"/>
          <w:szCs w:val="22"/>
        </w:rPr>
        <w:t>2</w:t>
      </w:r>
      <w:r>
        <w:rPr>
          <w:rFonts w:hAnsiTheme="minorHAnsi" w:cstheme="minorBidi"/>
          <w:kern w:val="2"/>
          <w:szCs w:val="22"/>
        </w:rPr>
        <w:t>个月内完成项目实施。</w:t>
      </w:r>
    </w:p>
    <w:p>
      <w:pPr>
        <w:pStyle w:val="2"/>
        <w:ind w:left="1" w:leftChars="-63" w:hanging="152" w:hangingChars="63"/>
      </w:pPr>
      <w:bookmarkStart w:id="4" w:name="_Toc140678629"/>
      <w:r>
        <w:rPr>
          <w:rFonts w:hint="eastAsia"/>
        </w:rPr>
        <w:t>需满足的服务标准、期限、效率等要求</w:t>
      </w:r>
      <w:bookmarkEnd w:id="4"/>
    </w:p>
    <w:p>
      <w:pPr>
        <w:pStyle w:val="3"/>
      </w:pPr>
      <w:bookmarkStart w:id="5" w:name="_Toc140678630"/>
      <w:r>
        <w:rPr>
          <w:rFonts w:hint="eastAsia"/>
        </w:rPr>
        <w:t>项目实施与服务要求</w:t>
      </w:r>
      <w:bookmarkEnd w:id="5"/>
    </w:p>
    <w:p>
      <w:pPr>
        <w:pStyle w:val="4"/>
      </w:pPr>
      <w:bookmarkStart w:id="6" w:name="_Toc140678631"/>
      <w:r>
        <w:rPr>
          <w:rFonts w:hint="eastAsia"/>
        </w:rPr>
        <w:t>项目实施团队</w:t>
      </w:r>
      <w:bookmarkEnd w:id="6"/>
    </w:p>
    <w:p>
      <w:pPr>
        <w:ind w:firstLine="480"/>
      </w:pPr>
      <w:r>
        <w:rPr>
          <w:rFonts w:hint="eastAsia"/>
        </w:rPr>
        <w:t>1、项目实施过程中，要求开发驻场进行技术配套支持;</w:t>
      </w:r>
    </w:p>
    <w:p>
      <w:pPr>
        <w:ind w:firstLine="480"/>
      </w:pPr>
      <w:r>
        <w:rPr>
          <w:rFonts w:hint="eastAsia"/>
        </w:rPr>
        <w:t>2、项目经理要求有三年以上项目管理经验;</w:t>
      </w:r>
    </w:p>
    <w:p>
      <w:pPr>
        <w:ind w:firstLine="480"/>
      </w:pPr>
      <w:r>
        <w:rPr>
          <w:rFonts w:hint="eastAsia"/>
        </w:rPr>
        <w:t>3、本项目中任何更新或改造的子项目，在实施前必须进过院方同意才能更新或改造。</w:t>
      </w:r>
    </w:p>
    <w:p>
      <w:pPr>
        <w:pStyle w:val="4"/>
        <w:ind w:left="1" w:leftChars="-63" w:hanging="152" w:hangingChars="63"/>
      </w:pPr>
      <w:bookmarkStart w:id="7" w:name="_Toc140678632"/>
      <w:r>
        <w:rPr>
          <w:rFonts w:hint="eastAsia"/>
        </w:rPr>
        <w:t>项目培训</w:t>
      </w:r>
      <w:bookmarkEnd w:id="7"/>
    </w:p>
    <w:p>
      <w:pPr>
        <w:ind w:firstLine="480"/>
      </w:pPr>
      <w:r>
        <w:rPr>
          <w:rFonts w:hint="eastAsia"/>
        </w:rPr>
        <w:t>1、投标人必须根据使用方的实际情况，为使用方制定合理完善的培训计划；</w:t>
      </w:r>
    </w:p>
    <w:p>
      <w:pPr>
        <w:ind w:firstLine="480"/>
      </w:pPr>
      <w:r>
        <w:rPr>
          <w:rFonts w:hint="eastAsia"/>
        </w:rPr>
        <w:t>2、项目在正常上线的过程中，不能影响院方临床业务的正常开展；</w:t>
      </w:r>
    </w:p>
    <w:p>
      <w:pPr>
        <w:ind w:firstLine="480"/>
      </w:pPr>
      <w:r>
        <w:rPr>
          <w:rFonts w:hint="eastAsia"/>
        </w:rPr>
        <w:t>3、投标人必须为所有被培训人员提供培训用文字资料和讲义等相关用品。</w:t>
      </w:r>
    </w:p>
    <w:p>
      <w:pPr>
        <w:ind w:firstLine="480"/>
      </w:pPr>
      <w:r>
        <w:rPr>
          <w:rFonts w:hint="eastAsia"/>
        </w:rPr>
        <w:t>4、投标人应将所有培训费用（含培训教材费）及各项支出列入“售后服务和培训价格表”；</w:t>
      </w:r>
    </w:p>
    <w:p>
      <w:pPr>
        <w:ind w:firstLine="480"/>
      </w:pPr>
      <w:r>
        <w:rPr>
          <w:rFonts w:hint="eastAsia"/>
        </w:rPr>
        <w:t>5、所有的培训费用必须计入投标总价。</w:t>
      </w:r>
    </w:p>
    <w:p>
      <w:pPr>
        <w:pStyle w:val="3"/>
      </w:pPr>
      <w:bookmarkStart w:id="8" w:name="_Toc140678633"/>
      <w:r>
        <w:rPr>
          <w:rFonts w:hint="eastAsia"/>
        </w:rPr>
        <w:t>售后服务要求</w:t>
      </w:r>
      <w:bookmarkEnd w:id="8"/>
    </w:p>
    <w:p>
      <w:pPr>
        <w:ind w:firstLine="480"/>
      </w:pPr>
      <w:r>
        <w:rPr>
          <w:rFonts w:hint="eastAsia"/>
        </w:rPr>
        <w:t>1、所提供应用软件系统需提供起不少于1年维护</w:t>
      </w:r>
      <w:r>
        <w:rPr>
          <w:rFonts w:hint="eastAsia"/>
          <w:lang w:val="en-US" w:eastAsia="zh-CN"/>
        </w:rPr>
        <w:t>(费用包含在合同中，</w:t>
      </w:r>
      <w:r>
        <w:rPr>
          <w:rFonts w:hint="eastAsia"/>
        </w:rPr>
        <w:t>从验收合格后</w:t>
      </w:r>
      <w:r>
        <w:rPr>
          <w:rFonts w:hint="eastAsia"/>
          <w:lang w:val="en-US" w:eastAsia="zh-CN"/>
        </w:rPr>
        <w:t>算起)</w:t>
      </w:r>
      <w:r>
        <w:rPr>
          <w:rFonts w:hint="eastAsia"/>
        </w:rPr>
        <w:t>；</w:t>
      </w:r>
    </w:p>
    <w:p>
      <w:pPr>
        <w:ind w:firstLine="480"/>
        <w:rPr>
          <w:rFonts w:hint="default" w:eastAsia="宋体"/>
          <w:lang w:val="en-US" w:eastAsia="zh-CN"/>
        </w:rPr>
      </w:pPr>
      <w:r>
        <w:rPr>
          <w:rFonts w:hint="eastAsia"/>
        </w:rPr>
        <w:t>2、</w:t>
      </w:r>
      <w:r>
        <w:rPr>
          <w:rFonts w:hint="eastAsia"/>
          <w:lang w:val="en-US" w:eastAsia="zh-CN"/>
        </w:rPr>
        <w:t>后续</w:t>
      </w:r>
      <w:r>
        <w:rPr>
          <w:rFonts w:hint="eastAsia"/>
        </w:rPr>
        <w:t>项目总体维护费用不超过合同总价10%；</w:t>
      </w:r>
      <w:r>
        <w:rPr>
          <w:rFonts w:hint="eastAsia"/>
          <w:lang w:eastAsia="zh-CN"/>
        </w:rPr>
        <w:t>（</w:t>
      </w:r>
      <w:r>
        <w:rPr>
          <w:rFonts w:hint="eastAsia"/>
          <w:lang w:val="en-US" w:eastAsia="zh-CN"/>
        </w:rPr>
        <w:t>提供报价）</w:t>
      </w:r>
    </w:p>
    <w:p>
      <w:pPr>
        <w:ind w:firstLine="480"/>
      </w:pPr>
      <w:r>
        <w:rPr>
          <w:rFonts w:hint="eastAsia"/>
        </w:rPr>
        <w:t>3、故障报修的响应时间：应提供7×24×365天小时服务，若电话中无法解决，2小时内到达现场进行维护；</w:t>
      </w:r>
    </w:p>
    <w:p>
      <w:pPr>
        <w:ind w:firstLine="480"/>
        <w:rPr>
          <w:rFonts w:hint="eastAsia" w:eastAsia="宋体"/>
          <w:lang w:val="en-US" w:eastAsia="zh-CN"/>
        </w:rPr>
      </w:pPr>
      <w:r>
        <w:rPr>
          <w:rFonts w:hint="eastAsia"/>
        </w:rPr>
        <w:t>5、提供应用软件系统扩充、升级方面的技术支持服务</w:t>
      </w:r>
      <w:r>
        <w:rPr>
          <w:rFonts w:hint="eastAsia"/>
          <w:lang w:eastAsia="zh-CN"/>
        </w:rPr>
        <w:t>。</w:t>
      </w:r>
    </w:p>
    <w:p>
      <w:pPr>
        <w:ind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B923D1"/>
    <w:multiLevelType w:val="multilevel"/>
    <w:tmpl w:val="0DB923D1"/>
    <w:lvl w:ilvl="0" w:tentative="0">
      <w:start w:val="1"/>
      <w:numFmt w:val="decimalEnclosedCircle"/>
      <w:lvlText w:val="%1"/>
      <w:lvlJc w:val="left"/>
      <w:pPr>
        <w:ind w:left="360" w:hanging="360"/>
      </w:pPr>
      <w:rPr>
        <w:rFonts w:hint="default" w:hAnsi="宋体" w:cs="宋体"/>
        <w:color w:val="000000"/>
        <w:sz w:val="22"/>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27BC65FB"/>
    <w:multiLevelType w:val="singleLevel"/>
    <w:tmpl w:val="27BC65FB"/>
    <w:lvl w:ilvl="0" w:tentative="0">
      <w:start w:val="1"/>
      <w:numFmt w:val="decimal"/>
      <w:lvlText w:val="%1)"/>
      <w:lvlJc w:val="left"/>
      <w:pPr>
        <w:tabs>
          <w:tab w:val="left" w:pos="312"/>
        </w:tabs>
      </w:pPr>
    </w:lvl>
  </w:abstractNum>
  <w:abstractNum w:abstractNumId="2">
    <w:nsid w:val="287249DE"/>
    <w:multiLevelType w:val="multilevel"/>
    <w:tmpl w:val="287249DE"/>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2B940570"/>
    <w:multiLevelType w:val="multilevel"/>
    <w:tmpl w:val="2B940570"/>
    <w:lvl w:ilvl="0" w:tentative="0">
      <w:start w:val="1"/>
      <w:numFmt w:val="decimalEnclosedCircle"/>
      <w:lvlText w:val="%1"/>
      <w:lvlJc w:val="left"/>
      <w:pPr>
        <w:ind w:left="360" w:hanging="360"/>
      </w:pPr>
      <w:rPr>
        <w:rFonts w:hint="default" w:hAnsi="宋体" w:cs="宋体"/>
        <w:color w:val="000000"/>
        <w:sz w:val="22"/>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3ADD6D30"/>
    <w:multiLevelType w:val="multilevel"/>
    <w:tmpl w:val="3ADD6D30"/>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43E69DB7"/>
    <w:multiLevelType w:val="singleLevel"/>
    <w:tmpl w:val="43E69DB7"/>
    <w:lvl w:ilvl="0" w:tentative="0">
      <w:start w:val="1"/>
      <w:numFmt w:val="decimal"/>
      <w:lvlText w:val="%1)"/>
      <w:lvlJc w:val="left"/>
      <w:pPr>
        <w:tabs>
          <w:tab w:val="left" w:pos="312"/>
        </w:tabs>
      </w:pPr>
    </w:lvl>
  </w:abstractNum>
  <w:abstractNum w:abstractNumId="6">
    <w:nsid w:val="46254A55"/>
    <w:multiLevelType w:val="multilevel"/>
    <w:tmpl w:val="46254A55"/>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lvl>
    <w:lvl w:ilvl="2" w:tentative="0">
      <w:start w:val="1"/>
      <w:numFmt w:val="decimal"/>
      <w:pStyle w:val="4"/>
      <w:lvlText w:val="%1.%2.%3"/>
      <w:lvlJc w:val="left"/>
      <w:pPr>
        <w:ind w:left="720" w:hanging="720"/>
      </w:pPr>
    </w:lvl>
    <w:lvl w:ilvl="3" w:tentative="0">
      <w:start w:val="1"/>
      <w:numFmt w:val="decimal"/>
      <w:pStyle w:val="5"/>
      <w:lvlText w:val="%1.%2.%3.%4"/>
      <w:lvlJc w:val="left"/>
      <w:pPr>
        <w:ind w:left="864" w:hanging="864"/>
      </w:pPr>
    </w:lvl>
    <w:lvl w:ilvl="4" w:tentative="0">
      <w:start w:val="1"/>
      <w:numFmt w:val="decimal"/>
      <w:pStyle w:val="6"/>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abstractNum w:abstractNumId="7">
    <w:nsid w:val="596E2663"/>
    <w:multiLevelType w:val="multilevel"/>
    <w:tmpl w:val="596E2663"/>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8">
    <w:nsid w:val="6A800AAF"/>
    <w:multiLevelType w:val="multilevel"/>
    <w:tmpl w:val="6A800AAF"/>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9">
    <w:nsid w:val="7E777E98"/>
    <w:multiLevelType w:val="multilevel"/>
    <w:tmpl w:val="7E777E98"/>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6"/>
  </w:num>
  <w:num w:numId="2">
    <w:abstractNumId w:val="9"/>
  </w:num>
  <w:num w:numId="3">
    <w:abstractNumId w:val="7"/>
  </w:num>
  <w:num w:numId="4">
    <w:abstractNumId w:val="2"/>
  </w:num>
  <w:num w:numId="5">
    <w:abstractNumId w:val="1"/>
  </w:num>
  <w:num w:numId="6">
    <w:abstractNumId w:val="5"/>
  </w:num>
  <w:num w:numId="7">
    <w:abstractNumId w:val="0"/>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kMjExMTU2MjcyNTYxYmUwOTUzMmZiY2ZkNmUzOTMifQ=="/>
  </w:docVars>
  <w:rsids>
    <w:rsidRoot w:val="00082AE7"/>
    <w:rsid w:val="00082AE7"/>
    <w:rsid w:val="00B302E5"/>
    <w:rsid w:val="07831983"/>
    <w:rsid w:val="090B41FE"/>
    <w:rsid w:val="0A2F5636"/>
    <w:rsid w:val="1D0B5B43"/>
    <w:rsid w:val="3ACA7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宋体" w:eastAsia="宋体" w:hAnsiTheme="minorHAnsi" w:cstheme="minorBidi"/>
      <w:kern w:val="2"/>
      <w:sz w:val="24"/>
      <w:szCs w:val="22"/>
      <w:lang w:val="en-US" w:eastAsia="zh-CN" w:bidi="ar-SA"/>
    </w:rPr>
  </w:style>
  <w:style w:type="paragraph" w:styleId="2">
    <w:name w:val="heading 1"/>
    <w:basedOn w:val="1"/>
    <w:next w:val="1"/>
    <w:link w:val="30"/>
    <w:qFormat/>
    <w:uiPriority w:val="9"/>
    <w:pPr>
      <w:keepNext/>
      <w:keepLines/>
      <w:numPr>
        <w:ilvl w:val="0"/>
        <w:numId w:val="1"/>
      </w:numPr>
      <w:ind w:firstLine="0" w:firstLineChars="0"/>
      <w:outlineLvl w:val="0"/>
    </w:pPr>
    <w:rPr>
      <w:b/>
      <w:bCs/>
      <w:kern w:val="44"/>
      <w:szCs w:val="44"/>
    </w:rPr>
  </w:style>
  <w:style w:type="paragraph" w:styleId="3">
    <w:name w:val="heading 2"/>
    <w:basedOn w:val="1"/>
    <w:next w:val="1"/>
    <w:link w:val="31"/>
    <w:unhideWhenUsed/>
    <w:qFormat/>
    <w:uiPriority w:val="9"/>
    <w:pPr>
      <w:keepNext/>
      <w:keepLines/>
      <w:numPr>
        <w:ilvl w:val="1"/>
        <w:numId w:val="1"/>
      </w:numPr>
      <w:ind w:firstLine="0" w:firstLineChars="0"/>
      <w:outlineLvl w:val="1"/>
    </w:pPr>
    <w:rPr>
      <w:rFonts w:hAnsiTheme="majorHAnsi" w:cstheme="majorBidi"/>
      <w:b/>
      <w:bCs/>
      <w:szCs w:val="32"/>
    </w:rPr>
  </w:style>
  <w:style w:type="paragraph" w:styleId="4">
    <w:name w:val="heading 3"/>
    <w:basedOn w:val="1"/>
    <w:next w:val="1"/>
    <w:link w:val="32"/>
    <w:unhideWhenUsed/>
    <w:qFormat/>
    <w:uiPriority w:val="9"/>
    <w:pPr>
      <w:keepNext/>
      <w:keepLines/>
      <w:numPr>
        <w:ilvl w:val="2"/>
        <w:numId w:val="1"/>
      </w:numPr>
      <w:ind w:firstLine="0" w:firstLineChars="0"/>
      <w:outlineLvl w:val="2"/>
    </w:pPr>
    <w:rPr>
      <w:b/>
      <w:bCs/>
      <w:szCs w:val="32"/>
    </w:rPr>
  </w:style>
  <w:style w:type="paragraph" w:styleId="5">
    <w:name w:val="heading 4"/>
    <w:basedOn w:val="1"/>
    <w:next w:val="1"/>
    <w:link w:val="33"/>
    <w:unhideWhenUsed/>
    <w:qFormat/>
    <w:uiPriority w:val="9"/>
    <w:pPr>
      <w:keepNext/>
      <w:keepLines/>
      <w:numPr>
        <w:ilvl w:val="3"/>
        <w:numId w:val="1"/>
      </w:numPr>
      <w:ind w:left="578" w:firstLine="0" w:firstLineChars="0"/>
      <w:outlineLvl w:val="3"/>
    </w:pPr>
    <w:rPr>
      <w:rFonts w:hAnsiTheme="majorHAnsi" w:cstheme="majorBidi"/>
      <w:b/>
      <w:bCs/>
      <w:szCs w:val="28"/>
    </w:rPr>
  </w:style>
  <w:style w:type="paragraph" w:styleId="6">
    <w:name w:val="heading 5"/>
    <w:basedOn w:val="1"/>
    <w:next w:val="1"/>
    <w:link w:val="34"/>
    <w:unhideWhenUsed/>
    <w:qFormat/>
    <w:uiPriority w:val="9"/>
    <w:pPr>
      <w:keepNext/>
      <w:keepLines/>
      <w:numPr>
        <w:ilvl w:val="4"/>
        <w:numId w:val="1"/>
      </w:numPr>
      <w:ind w:firstLine="0" w:firstLineChars="0"/>
      <w:outlineLvl w:val="4"/>
    </w:pPr>
    <w:rPr>
      <w:b/>
      <w:bCs/>
      <w:szCs w:val="28"/>
    </w:rPr>
  </w:style>
  <w:style w:type="paragraph" w:styleId="7">
    <w:name w:val="heading 6"/>
    <w:basedOn w:val="1"/>
    <w:next w:val="1"/>
    <w:link w:val="35"/>
    <w:semiHidden/>
    <w:unhideWhenUsed/>
    <w:qFormat/>
    <w:uiPriority w:val="9"/>
    <w:pPr>
      <w:keepNext/>
      <w:keepLines/>
      <w:numPr>
        <w:ilvl w:val="5"/>
        <w:numId w:val="1"/>
      </w:numPr>
      <w:ind w:firstLine="0" w:firstLineChars="0"/>
      <w:outlineLvl w:val="5"/>
    </w:pPr>
    <w:rPr>
      <w:rFonts w:hAnsiTheme="majorHAnsi" w:cstheme="majorBidi"/>
      <w:b/>
      <w:bCs/>
      <w:szCs w:val="24"/>
    </w:rPr>
  </w:style>
  <w:style w:type="paragraph" w:styleId="8">
    <w:name w:val="heading 7"/>
    <w:basedOn w:val="1"/>
    <w:next w:val="1"/>
    <w:link w:val="36"/>
    <w:semiHidden/>
    <w:unhideWhenUsed/>
    <w:qFormat/>
    <w:uiPriority w:val="9"/>
    <w:pPr>
      <w:keepNext/>
      <w:keepLines/>
      <w:numPr>
        <w:ilvl w:val="6"/>
        <w:numId w:val="1"/>
      </w:numPr>
      <w:ind w:firstLine="0" w:firstLineChars="0"/>
      <w:outlineLvl w:val="6"/>
    </w:pPr>
    <w:rPr>
      <w:b/>
      <w:bCs/>
      <w:szCs w:val="24"/>
    </w:rPr>
  </w:style>
  <w:style w:type="paragraph" w:styleId="9">
    <w:name w:val="heading 8"/>
    <w:basedOn w:val="1"/>
    <w:next w:val="1"/>
    <w:link w:val="37"/>
    <w:semiHidden/>
    <w:unhideWhenUsed/>
    <w:qFormat/>
    <w:uiPriority w:val="9"/>
    <w:pPr>
      <w:keepNext/>
      <w:keepLines/>
      <w:numPr>
        <w:ilvl w:val="7"/>
        <w:numId w:val="1"/>
      </w:numPr>
      <w:ind w:firstLine="0" w:firstLineChars="0"/>
      <w:outlineLvl w:val="7"/>
    </w:pPr>
    <w:rPr>
      <w:rFonts w:hAnsiTheme="majorHAnsi" w:cstheme="majorBidi"/>
      <w:szCs w:val="24"/>
    </w:rPr>
  </w:style>
  <w:style w:type="paragraph" w:styleId="10">
    <w:name w:val="heading 9"/>
    <w:basedOn w:val="1"/>
    <w:next w:val="1"/>
    <w:link w:val="38"/>
    <w:semiHidden/>
    <w:unhideWhenUsed/>
    <w:qFormat/>
    <w:uiPriority w:val="9"/>
    <w:pPr>
      <w:keepNext/>
      <w:keepLines/>
      <w:numPr>
        <w:ilvl w:val="8"/>
        <w:numId w:val="1"/>
      </w:numPr>
      <w:ind w:firstLine="400" w:firstLineChars="400"/>
      <w:outlineLvl w:val="8"/>
    </w:pPr>
    <w:rPr>
      <w:rFonts w:hAnsiTheme="majorHAnsi" w:cstheme="majorBidi"/>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1440"/>
      <w:jc w:val="left"/>
    </w:pPr>
    <w:rPr>
      <w:rFonts w:asciiTheme="minorHAnsi" w:eastAsiaTheme="minorHAnsi"/>
      <w:sz w:val="18"/>
      <w:szCs w:val="18"/>
    </w:rPr>
  </w:style>
  <w:style w:type="paragraph" w:styleId="12">
    <w:name w:val="Body Text"/>
    <w:basedOn w:val="1"/>
    <w:link w:val="39"/>
    <w:unhideWhenUsed/>
    <w:qFormat/>
    <w:uiPriority w:val="0"/>
    <w:pPr>
      <w:spacing w:after="120" w:line="240" w:lineRule="auto"/>
      <w:ind w:firstLine="0" w:firstLineChars="0"/>
    </w:pPr>
    <w:rPr>
      <w:rFonts w:ascii="Calibri" w:hAnsi="Calibri" w:cs="Times New Roman"/>
      <w:sz w:val="21"/>
    </w:rPr>
  </w:style>
  <w:style w:type="paragraph" w:styleId="13">
    <w:name w:val="toc 5"/>
    <w:basedOn w:val="1"/>
    <w:next w:val="1"/>
    <w:unhideWhenUsed/>
    <w:qFormat/>
    <w:uiPriority w:val="39"/>
    <w:pPr>
      <w:ind w:left="960"/>
      <w:jc w:val="left"/>
    </w:pPr>
    <w:rPr>
      <w:rFonts w:asciiTheme="minorHAnsi" w:eastAsiaTheme="minorHAnsi"/>
      <w:sz w:val="18"/>
      <w:szCs w:val="18"/>
    </w:rPr>
  </w:style>
  <w:style w:type="paragraph" w:styleId="14">
    <w:name w:val="toc 3"/>
    <w:basedOn w:val="1"/>
    <w:next w:val="1"/>
    <w:unhideWhenUsed/>
    <w:qFormat/>
    <w:uiPriority w:val="39"/>
    <w:pPr>
      <w:ind w:left="480"/>
      <w:jc w:val="left"/>
    </w:pPr>
    <w:rPr>
      <w:rFonts w:asciiTheme="minorHAnsi" w:eastAsiaTheme="minorHAnsi"/>
      <w:i/>
      <w:iCs/>
      <w:sz w:val="20"/>
      <w:szCs w:val="20"/>
    </w:rPr>
  </w:style>
  <w:style w:type="paragraph" w:styleId="15">
    <w:name w:val="Plain Text"/>
    <w:basedOn w:val="1"/>
    <w:link w:val="52"/>
    <w:qFormat/>
    <w:uiPriority w:val="0"/>
    <w:pPr>
      <w:spacing w:line="240" w:lineRule="auto"/>
      <w:ind w:firstLine="0" w:firstLineChars="0"/>
    </w:pPr>
    <w:rPr>
      <w:rFonts w:hAnsi="Courier New" w:cs="Times New Roman"/>
      <w:kern w:val="0"/>
      <w:sz w:val="20"/>
      <w:szCs w:val="21"/>
    </w:rPr>
  </w:style>
  <w:style w:type="paragraph" w:styleId="16">
    <w:name w:val="toc 8"/>
    <w:basedOn w:val="1"/>
    <w:next w:val="1"/>
    <w:unhideWhenUsed/>
    <w:qFormat/>
    <w:uiPriority w:val="39"/>
    <w:pPr>
      <w:ind w:left="1680"/>
      <w:jc w:val="left"/>
    </w:pPr>
    <w:rPr>
      <w:rFonts w:asciiTheme="minorHAnsi" w:eastAsiaTheme="minorHAnsi"/>
      <w:sz w:val="18"/>
      <w:szCs w:val="18"/>
    </w:rPr>
  </w:style>
  <w:style w:type="paragraph" w:styleId="17">
    <w:name w:val="Date"/>
    <w:basedOn w:val="1"/>
    <w:next w:val="1"/>
    <w:link w:val="40"/>
    <w:semiHidden/>
    <w:unhideWhenUsed/>
    <w:qFormat/>
    <w:uiPriority w:val="99"/>
    <w:pPr>
      <w:ind w:left="100" w:leftChars="2500"/>
    </w:pPr>
  </w:style>
  <w:style w:type="paragraph" w:styleId="18">
    <w:name w:val="Balloon Text"/>
    <w:basedOn w:val="1"/>
    <w:link w:val="55"/>
    <w:semiHidden/>
    <w:unhideWhenUsed/>
    <w:qFormat/>
    <w:uiPriority w:val="99"/>
    <w:pPr>
      <w:spacing w:line="240" w:lineRule="auto"/>
    </w:pPr>
    <w:rPr>
      <w:sz w:val="18"/>
      <w:szCs w:val="18"/>
    </w:rPr>
  </w:style>
  <w:style w:type="paragraph" w:styleId="19">
    <w:name w:val="footer"/>
    <w:basedOn w:val="1"/>
    <w:link w:val="41"/>
    <w:unhideWhenUsed/>
    <w:qFormat/>
    <w:uiPriority w:val="99"/>
    <w:pPr>
      <w:tabs>
        <w:tab w:val="center" w:pos="4153"/>
        <w:tab w:val="right" w:pos="8306"/>
      </w:tabs>
      <w:snapToGrid w:val="0"/>
      <w:spacing w:line="240" w:lineRule="auto"/>
      <w:jc w:val="left"/>
    </w:pPr>
    <w:rPr>
      <w:sz w:val="18"/>
      <w:szCs w:val="18"/>
    </w:rPr>
  </w:style>
  <w:style w:type="paragraph" w:styleId="20">
    <w:name w:val="header"/>
    <w:basedOn w:val="1"/>
    <w:link w:val="42"/>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21">
    <w:name w:val="toc 1"/>
    <w:basedOn w:val="1"/>
    <w:next w:val="1"/>
    <w:unhideWhenUsed/>
    <w:qFormat/>
    <w:uiPriority w:val="39"/>
    <w:pPr>
      <w:spacing w:before="120" w:after="120"/>
      <w:jc w:val="left"/>
    </w:pPr>
    <w:rPr>
      <w:rFonts w:asciiTheme="minorHAnsi" w:eastAsiaTheme="minorHAnsi"/>
      <w:b/>
      <w:bCs/>
      <w:caps/>
      <w:sz w:val="20"/>
      <w:szCs w:val="20"/>
    </w:rPr>
  </w:style>
  <w:style w:type="paragraph" w:styleId="22">
    <w:name w:val="toc 4"/>
    <w:basedOn w:val="1"/>
    <w:next w:val="1"/>
    <w:unhideWhenUsed/>
    <w:qFormat/>
    <w:uiPriority w:val="39"/>
    <w:pPr>
      <w:ind w:left="720"/>
      <w:jc w:val="left"/>
    </w:pPr>
    <w:rPr>
      <w:rFonts w:asciiTheme="minorHAnsi" w:eastAsiaTheme="minorHAnsi"/>
      <w:sz w:val="18"/>
      <w:szCs w:val="18"/>
    </w:rPr>
  </w:style>
  <w:style w:type="paragraph" w:styleId="23">
    <w:name w:val="toc 6"/>
    <w:basedOn w:val="1"/>
    <w:next w:val="1"/>
    <w:unhideWhenUsed/>
    <w:qFormat/>
    <w:uiPriority w:val="39"/>
    <w:pPr>
      <w:ind w:left="1200"/>
      <w:jc w:val="left"/>
    </w:pPr>
    <w:rPr>
      <w:rFonts w:asciiTheme="minorHAnsi" w:eastAsiaTheme="minorHAnsi"/>
      <w:sz w:val="18"/>
      <w:szCs w:val="18"/>
    </w:rPr>
  </w:style>
  <w:style w:type="paragraph" w:styleId="24">
    <w:name w:val="toc 2"/>
    <w:basedOn w:val="1"/>
    <w:next w:val="1"/>
    <w:unhideWhenUsed/>
    <w:qFormat/>
    <w:uiPriority w:val="39"/>
    <w:pPr>
      <w:ind w:left="240"/>
      <w:jc w:val="left"/>
    </w:pPr>
    <w:rPr>
      <w:rFonts w:asciiTheme="minorHAnsi" w:eastAsiaTheme="minorHAnsi"/>
      <w:smallCaps/>
      <w:sz w:val="20"/>
      <w:szCs w:val="20"/>
    </w:rPr>
  </w:style>
  <w:style w:type="paragraph" w:styleId="25">
    <w:name w:val="toc 9"/>
    <w:basedOn w:val="1"/>
    <w:next w:val="1"/>
    <w:unhideWhenUsed/>
    <w:qFormat/>
    <w:uiPriority w:val="39"/>
    <w:pPr>
      <w:ind w:left="1920"/>
      <w:jc w:val="left"/>
    </w:pPr>
    <w:rPr>
      <w:rFonts w:asciiTheme="minorHAnsi" w:eastAsiaTheme="minorHAnsi"/>
      <w:sz w:val="18"/>
      <w:szCs w:val="18"/>
    </w:rPr>
  </w:style>
  <w:style w:type="table" w:styleId="27">
    <w:name w:val="Table Grid"/>
    <w:basedOn w:val="26"/>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Hyperlink"/>
    <w:basedOn w:val="28"/>
    <w:unhideWhenUsed/>
    <w:uiPriority w:val="99"/>
    <w:rPr>
      <w:color w:val="0000FF" w:themeColor="hyperlink"/>
      <w:u w:val="single"/>
    </w:rPr>
  </w:style>
  <w:style w:type="character" w:customStyle="1" w:styleId="30">
    <w:name w:val="标题 1 Char"/>
    <w:basedOn w:val="28"/>
    <w:link w:val="2"/>
    <w:qFormat/>
    <w:uiPriority w:val="9"/>
    <w:rPr>
      <w:rFonts w:ascii="宋体" w:eastAsia="宋体"/>
      <w:b/>
      <w:bCs/>
      <w:kern w:val="44"/>
      <w:sz w:val="24"/>
      <w:szCs w:val="44"/>
    </w:rPr>
  </w:style>
  <w:style w:type="character" w:customStyle="1" w:styleId="31">
    <w:name w:val="标题 2 Char"/>
    <w:basedOn w:val="28"/>
    <w:link w:val="3"/>
    <w:qFormat/>
    <w:uiPriority w:val="9"/>
    <w:rPr>
      <w:rFonts w:ascii="宋体" w:eastAsia="宋体" w:hAnsiTheme="majorHAnsi" w:cstheme="majorBidi"/>
      <w:b/>
      <w:bCs/>
      <w:sz w:val="24"/>
      <w:szCs w:val="32"/>
    </w:rPr>
  </w:style>
  <w:style w:type="character" w:customStyle="1" w:styleId="32">
    <w:name w:val="标题 3 Char"/>
    <w:basedOn w:val="28"/>
    <w:link w:val="4"/>
    <w:uiPriority w:val="9"/>
    <w:rPr>
      <w:rFonts w:ascii="宋体" w:eastAsia="宋体"/>
      <w:b/>
      <w:bCs/>
      <w:sz w:val="24"/>
      <w:szCs w:val="32"/>
    </w:rPr>
  </w:style>
  <w:style w:type="character" w:customStyle="1" w:styleId="33">
    <w:name w:val="标题 4 Char"/>
    <w:basedOn w:val="28"/>
    <w:link w:val="5"/>
    <w:qFormat/>
    <w:uiPriority w:val="9"/>
    <w:rPr>
      <w:rFonts w:ascii="宋体" w:eastAsia="宋体" w:hAnsiTheme="majorHAnsi" w:cstheme="majorBidi"/>
      <w:b/>
      <w:bCs/>
      <w:sz w:val="24"/>
      <w:szCs w:val="28"/>
    </w:rPr>
  </w:style>
  <w:style w:type="character" w:customStyle="1" w:styleId="34">
    <w:name w:val="标题 5 Char"/>
    <w:basedOn w:val="28"/>
    <w:link w:val="6"/>
    <w:qFormat/>
    <w:uiPriority w:val="9"/>
    <w:rPr>
      <w:rFonts w:ascii="宋体" w:eastAsia="宋体"/>
      <w:b/>
      <w:bCs/>
      <w:sz w:val="24"/>
      <w:szCs w:val="28"/>
    </w:rPr>
  </w:style>
  <w:style w:type="character" w:customStyle="1" w:styleId="35">
    <w:name w:val="标题 6 Char"/>
    <w:basedOn w:val="28"/>
    <w:link w:val="7"/>
    <w:semiHidden/>
    <w:qFormat/>
    <w:uiPriority w:val="9"/>
    <w:rPr>
      <w:rFonts w:ascii="宋体" w:eastAsia="宋体" w:hAnsiTheme="majorHAnsi" w:cstheme="majorBidi"/>
      <w:b/>
      <w:bCs/>
      <w:sz w:val="24"/>
      <w:szCs w:val="24"/>
    </w:rPr>
  </w:style>
  <w:style w:type="character" w:customStyle="1" w:styleId="36">
    <w:name w:val="标题 7 Char"/>
    <w:basedOn w:val="28"/>
    <w:link w:val="8"/>
    <w:semiHidden/>
    <w:qFormat/>
    <w:uiPriority w:val="9"/>
    <w:rPr>
      <w:rFonts w:ascii="宋体" w:eastAsia="宋体"/>
      <w:b/>
      <w:bCs/>
      <w:sz w:val="24"/>
      <w:szCs w:val="24"/>
    </w:rPr>
  </w:style>
  <w:style w:type="character" w:customStyle="1" w:styleId="37">
    <w:name w:val="标题 8 Char"/>
    <w:basedOn w:val="28"/>
    <w:link w:val="9"/>
    <w:semiHidden/>
    <w:uiPriority w:val="9"/>
    <w:rPr>
      <w:rFonts w:ascii="宋体" w:eastAsia="宋体" w:hAnsiTheme="majorHAnsi" w:cstheme="majorBidi"/>
      <w:sz w:val="24"/>
      <w:szCs w:val="24"/>
    </w:rPr>
  </w:style>
  <w:style w:type="character" w:customStyle="1" w:styleId="38">
    <w:name w:val="标题 9 Char"/>
    <w:basedOn w:val="28"/>
    <w:link w:val="10"/>
    <w:semiHidden/>
    <w:qFormat/>
    <w:uiPriority w:val="9"/>
    <w:rPr>
      <w:rFonts w:ascii="宋体" w:eastAsia="宋体" w:hAnsiTheme="majorHAnsi" w:cstheme="majorBidi"/>
      <w:sz w:val="24"/>
      <w:szCs w:val="21"/>
    </w:rPr>
  </w:style>
  <w:style w:type="character" w:customStyle="1" w:styleId="39">
    <w:name w:val="正文文本 Char"/>
    <w:basedOn w:val="28"/>
    <w:link w:val="12"/>
    <w:qFormat/>
    <w:uiPriority w:val="0"/>
    <w:rPr>
      <w:rFonts w:ascii="Calibri" w:hAnsi="Calibri" w:eastAsia="宋体" w:cs="Times New Roman"/>
    </w:rPr>
  </w:style>
  <w:style w:type="character" w:customStyle="1" w:styleId="40">
    <w:name w:val="日期 Char"/>
    <w:basedOn w:val="28"/>
    <w:link w:val="17"/>
    <w:semiHidden/>
    <w:qFormat/>
    <w:uiPriority w:val="99"/>
    <w:rPr>
      <w:rFonts w:ascii="宋体" w:eastAsia="宋体"/>
      <w:sz w:val="24"/>
    </w:rPr>
  </w:style>
  <w:style w:type="character" w:customStyle="1" w:styleId="41">
    <w:name w:val="页脚 Char"/>
    <w:basedOn w:val="28"/>
    <w:link w:val="19"/>
    <w:qFormat/>
    <w:uiPriority w:val="99"/>
    <w:rPr>
      <w:rFonts w:ascii="宋体" w:eastAsia="宋体"/>
      <w:sz w:val="18"/>
      <w:szCs w:val="18"/>
    </w:rPr>
  </w:style>
  <w:style w:type="character" w:customStyle="1" w:styleId="42">
    <w:name w:val="页眉 Char"/>
    <w:basedOn w:val="28"/>
    <w:link w:val="20"/>
    <w:qFormat/>
    <w:uiPriority w:val="99"/>
    <w:rPr>
      <w:rFonts w:ascii="宋体" w:eastAsia="宋体"/>
      <w:sz w:val="18"/>
      <w:szCs w:val="18"/>
    </w:rPr>
  </w:style>
  <w:style w:type="paragraph" w:styleId="43">
    <w:name w:val="No Spacing"/>
    <w:qFormat/>
    <w:uiPriority w:val="1"/>
    <w:pPr>
      <w:widowControl w:val="0"/>
      <w:spacing w:line="360" w:lineRule="auto"/>
      <w:jc w:val="both"/>
    </w:pPr>
    <w:rPr>
      <w:rFonts w:ascii="宋体" w:eastAsia="宋体" w:hAnsiTheme="minorHAnsi" w:cstheme="minorBidi"/>
      <w:kern w:val="2"/>
      <w:sz w:val="24"/>
      <w:szCs w:val="22"/>
      <w:lang w:val="en-US" w:eastAsia="zh-CN" w:bidi="ar-SA"/>
    </w:rPr>
  </w:style>
  <w:style w:type="character" w:customStyle="1" w:styleId="44">
    <w:name w:val="不明显强调1"/>
    <w:basedOn w:val="28"/>
    <w:qFormat/>
    <w:uiPriority w:val="19"/>
    <w:rPr>
      <w:i/>
      <w:iCs/>
      <w:color w:val="3F3F3F" w:themeColor="text1" w:themeTint="BF"/>
    </w:rPr>
  </w:style>
  <w:style w:type="paragraph" w:customStyle="1" w:styleId="45">
    <w:name w:val="列出段落1"/>
    <w:basedOn w:val="1"/>
    <w:qFormat/>
    <w:uiPriority w:val="99"/>
    <w:pPr>
      <w:spacing w:line="240" w:lineRule="auto"/>
      <w:ind w:firstLine="420"/>
    </w:pPr>
    <w:rPr>
      <w:rFonts w:ascii="Calibri" w:hAnsi="Calibri" w:cs="Times New Roman"/>
      <w:kern w:val="0"/>
      <w:sz w:val="21"/>
      <w:szCs w:val="20"/>
    </w:rPr>
  </w:style>
  <w:style w:type="paragraph" w:styleId="46">
    <w:name w:val="List Paragraph"/>
    <w:basedOn w:val="1"/>
    <w:link w:val="48"/>
    <w:qFormat/>
    <w:uiPriority w:val="34"/>
    <w:pPr>
      <w:ind w:firstLine="420"/>
    </w:pPr>
  </w:style>
  <w:style w:type="table" w:customStyle="1" w:styleId="47">
    <w:name w:val="网格型1"/>
    <w:basedOn w:val="26"/>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8">
    <w:name w:val="列出段落 Char"/>
    <w:link w:val="46"/>
    <w:qFormat/>
    <w:locked/>
    <w:uiPriority w:val="34"/>
    <w:rPr>
      <w:rFonts w:ascii="宋体" w:eastAsia="宋体"/>
      <w:sz w:val="24"/>
    </w:rPr>
  </w:style>
  <w:style w:type="paragraph" w:customStyle="1" w:styleId="49">
    <w:name w:val="Default"/>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 w:type="character" w:customStyle="1" w:styleId="50">
    <w:name w:val="font11"/>
    <w:basedOn w:val="28"/>
    <w:qFormat/>
    <w:uiPriority w:val="0"/>
    <w:rPr>
      <w:rFonts w:ascii="微软雅黑" w:hAnsi="微软雅黑" w:eastAsia="微软雅黑" w:cs="微软雅黑"/>
      <w:color w:val="000000"/>
      <w:sz w:val="20"/>
      <w:szCs w:val="20"/>
      <w:u w:val="none"/>
    </w:rPr>
  </w:style>
  <w:style w:type="paragraph" w:customStyle="1" w:styleId="51">
    <w:name w:val="普通(网站) Char"/>
    <w:basedOn w:val="1"/>
    <w:qFormat/>
    <w:uiPriority w:val="0"/>
    <w:pPr>
      <w:widowControl/>
      <w:spacing w:before="100" w:beforeAutospacing="1" w:after="100" w:afterAutospacing="1" w:line="240" w:lineRule="auto"/>
      <w:ind w:firstLine="0" w:firstLineChars="0"/>
      <w:jc w:val="left"/>
    </w:pPr>
    <w:rPr>
      <w:rFonts w:hint="eastAsia" w:hAnsi="宋体" w:cs="Times New Roman"/>
      <w:kern w:val="0"/>
      <w:szCs w:val="24"/>
    </w:rPr>
  </w:style>
  <w:style w:type="character" w:customStyle="1" w:styleId="52">
    <w:name w:val="纯文本 Char"/>
    <w:basedOn w:val="28"/>
    <w:link w:val="15"/>
    <w:qFormat/>
    <w:uiPriority w:val="0"/>
    <w:rPr>
      <w:rFonts w:ascii="宋体" w:hAnsi="Courier New" w:eastAsia="宋体" w:cs="Times New Roman"/>
      <w:kern w:val="0"/>
      <w:sz w:val="20"/>
      <w:szCs w:val="21"/>
    </w:rPr>
  </w:style>
  <w:style w:type="paragraph" w:customStyle="1" w:styleId="53">
    <w:name w:val="列表段落1"/>
    <w:basedOn w:val="1"/>
    <w:qFormat/>
    <w:uiPriority w:val="0"/>
    <w:pPr>
      <w:ind w:firstLine="420"/>
    </w:pPr>
    <w:rPr>
      <w:rFonts w:ascii="Calibri" w:hAnsi="Calibri" w:cs="Times New Roman"/>
      <w:sz w:val="21"/>
      <w:lang w:val="zh-CN"/>
    </w:rPr>
  </w:style>
  <w:style w:type="paragraph" w:customStyle="1" w:styleId="54">
    <w:name w:val="TOC Heading"/>
    <w:basedOn w:val="2"/>
    <w:next w:val="1"/>
    <w:unhideWhenUsed/>
    <w:qFormat/>
    <w:uiPriority w:val="39"/>
    <w:pPr>
      <w:widowControl/>
      <w:numPr>
        <w:numId w:val="0"/>
      </w:numPr>
      <w:spacing w:before="24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55">
    <w:name w:val="批注框文本 Char"/>
    <w:basedOn w:val="28"/>
    <w:link w:val="18"/>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9656</Words>
  <Characters>9912</Characters>
  <Lines>79</Lines>
  <Paragraphs>22</Paragraphs>
  <TotalTime>28</TotalTime>
  <ScaleCrop>false</ScaleCrop>
  <LinksUpToDate>false</LinksUpToDate>
  <CharactersWithSpaces>10290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2023-07-19T10:18:00Z</dcterms:created>
  <dc:creator>冯海燕</dc:creator>
  <cp:lastModifiedBy>黄秉勋</cp:lastModifiedBy>
  <dcterms:modified xsi:type="dcterms:W3CDTF">2023-07-25T03:18:55Z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4C7EF7E364874579972C6A43A00EFF94</vt:lpwstr>
  </property>
</Properties>
</file>