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YNZB202231B</w:t>
      </w:r>
    </w:p>
    <w:p>
      <w:pPr>
        <w:spacing w:line="500" w:lineRule="exact"/>
        <w:ind w:left="2470" w:leftChars="426" w:hanging="1575" w:hangingChars="523"/>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广东省妇幼保健院可吸收骨固定系统项目（</w:t>
      </w:r>
      <w:r>
        <w:rPr>
          <w:rFonts w:hint="eastAsia" w:cs="宋体"/>
          <w:b/>
          <w:bCs/>
          <w:color w:val="auto"/>
          <w:sz w:val="30"/>
          <w:szCs w:val="30"/>
          <w:lang w:val="en-US" w:eastAsia="zh-CN"/>
        </w:rPr>
        <w:t>重招）</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二零二二年</w:t>
      </w:r>
      <w:r>
        <w:rPr>
          <w:rFonts w:hint="eastAsia" w:ascii="黑体" w:hAnsi="黑体" w:eastAsia="黑体" w:cs="黑体"/>
          <w:b/>
          <w:bCs/>
          <w:color w:val="auto"/>
          <w:sz w:val="32"/>
          <w:szCs w:val="32"/>
          <w:lang w:val="en-US" w:eastAsia="zh-Hans"/>
        </w:rPr>
        <w:t>八</w:t>
      </w:r>
      <w:r>
        <w:rPr>
          <w:rFonts w:hint="eastAsia" w:ascii="黑体" w:hAnsi="黑体" w:eastAsia="黑体" w:cs="黑体"/>
          <w:b/>
          <w:bCs/>
          <w:color w:val="auto"/>
          <w:sz w:val="32"/>
          <w:szCs w:val="32"/>
          <w:lang w:val="en-US" w:eastAsia="zh-CN"/>
        </w:rPr>
        <w:t>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bookmarkStart w:id="0" w:name="_Toc98578990"/>
      <w:bookmarkStart w:id="1" w:name="_Toc98579589"/>
      <w:bookmarkStart w:id="2" w:name="_Toc127930770"/>
      <w:bookmarkStart w:id="3" w:name="_Toc98579048"/>
      <w:bookmarkStart w:id="4" w:name="_Toc98580272"/>
      <w:bookmarkStart w:id="5" w:name="_Toc175644436"/>
      <w:bookmarkStart w:id="6" w:name="_Toc175644383"/>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9"/>
        <w:tabs>
          <w:tab w:val="right" w:leader="dot" w:pos="9628"/>
        </w:tabs>
        <w:rPr>
          <w:rFonts w:hint="eastAsia" w:ascii="黑体" w:hAnsi="黑体" w:eastAsia="黑体" w:cs="黑体"/>
          <w:b w:val="0"/>
          <w:bCs w:val="0"/>
          <w:caps w:val="0"/>
          <w:color w:val="auto"/>
          <w:kern w:val="2"/>
          <w:sz w:val="21"/>
          <w:highlight w:val="none"/>
          <w:lang w:eastAsia="zh-CN"/>
        </w:rPr>
      </w:pPr>
      <w:r>
        <w:rPr>
          <w:rFonts w:hint="eastAsia" w:ascii="黑体" w:hAnsi="黑体" w:eastAsia="黑体" w:cs="黑体"/>
          <w:b w:val="0"/>
          <w:bCs w:val="0"/>
          <w:caps w:val="0"/>
          <w:color w:val="auto"/>
          <w:szCs w:val="44"/>
          <w:highlight w:val="none"/>
        </w:rPr>
        <w:fldChar w:fldCharType="begin"/>
      </w:r>
      <w:r>
        <w:rPr>
          <w:rFonts w:hint="eastAsia" w:ascii="黑体" w:hAnsi="黑体" w:eastAsia="黑体" w:cs="黑体"/>
          <w:b w:val="0"/>
          <w:bCs w:val="0"/>
          <w:caps w:val="0"/>
          <w:color w:val="auto"/>
          <w:szCs w:val="44"/>
          <w:highlight w:val="none"/>
        </w:rPr>
        <w:instrText xml:space="preserve"> TOC \o "1-1" \u </w:instrText>
      </w:r>
      <w:r>
        <w:rPr>
          <w:rFonts w:hint="eastAsia" w:ascii="黑体" w:hAnsi="黑体" w:eastAsia="黑体" w:cs="黑体"/>
          <w:b w:val="0"/>
          <w:bCs w:val="0"/>
          <w:caps w:val="0"/>
          <w:color w:val="auto"/>
          <w:szCs w:val="44"/>
          <w:highlight w:val="none"/>
        </w:rPr>
        <w:fldChar w:fldCharType="separate"/>
      </w:r>
      <w:r>
        <w:rPr>
          <w:rFonts w:hint="eastAsia" w:ascii="黑体" w:hAnsi="黑体" w:eastAsia="黑体" w:cs="黑体"/>
          <w:color w:val="auto"/>
          <w:highlight w:val="none"/>
        </w:rPr>
        <w:t xml:space="preserve">第一部分 </w:t>
      </w:r>
      <w:r>
        <w:rPr>
          <w:rFonts w:hint="eastAsia" w:ascii="黑体" w:hAnsi="黑体" w:eastAsia="黑体" w:cs="黑体"/>
          <w:color w:val="auto"/>
          <w:highlight w:val="none"/>
          <w:lang w:val="en-US" w:eastAsia="zh-CN"/>
        </w:rPr>
        <w:t>自主</w:t>
      </w:r>
      <w:r>
        <w:rPr>
          <w:rFonts w:hint="eastAsia" w:ascii="黑体" w:hAnsi="黑体" w:eastAsia="黑体" w:cs="黑体"/>
          <w:color w:val="auto"/>
        </w:rPr>
        <w:t>竞争性磋商邀请函</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1</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第二部分 </w:t>
      </w:r>
      <w:r>
        <w:rPr>
          <w:rFonts w:hint="eastAsia" w:ascii="黑体" w:hAnsi="黑体" w:eastAsia="黑体" w:cs="黑体"/>
          <w:color w:val="auto"/>
        </w:rPr>
        <w:t>采购需求</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6</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第三部分 </w:t>
      </w:r>
      <w:r>
        <w:rPr>
          <w:rFonts w:hint="eastAsia" w:ascii="黑体" w:hAnsi="黑体" w:eastAsia="黑体" w:cs="黑体"/>
          <w:color w:val="auto"/>
          <w:highlight w:val="none"/>
          <w:lang w:val="en-US" w:eastAsia="zh-CN"/>
        </w:rPr>
        <w:t>自主</w:t>
      </w:r>
      <w:r>
        <w:rPr>
          <w:rFonts w:hint="eastAsia" w:ascii="黑体" w:hAnsi="黑体" w:eastAsia="黑体" w:cs="黑体"/>
          <w:color w:val="auto"/>
          <w:highlight w:val="none"/>
        </w:rPr>
        <w:t>竞争性磋商须知</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10</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第四部分 </w:t>
      </w:r>
      <w:r>
        <w:rPr>
          <w:rFonts w:hint="eastAsia" w:ascii="黑体" w:hAnsi="黑体" w:eastAsia="黑体" w:cs="黑体"/>
          <w:color w:val="auto"/>
          <w:lang w:eastAsia="zh-CN"/>
        </w:rPr>
        <w:t>评审程序、评审方法和评审标准</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24</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第五部分 </w:t>
      </w:r>
      <w:r>
        <w:rPr>
          <w:rFonts w:hint="eastAsia" w:ascii="黑体" w:hAnsi="黑体" w:eastAsia="黑体" w:cs="黑体"/>
          <w:color w:val="auto"/>
        </w:rPr>
        <w:t>合同书格式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33</w:t>
      </w:r>
    </w:p>
    <w:p>
      <w:pPr>
        <w:pStyle w:val="29"/>
        <w:tabs>
          <w:tab w:val="right" w:leader="dot" w:pos="9628"/>
        </w:tabs>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 xml:space="preserve">第六部分 </w:t>
      </w:r>
      <w:r>
        <w:rPr>
          <w:rFonts w:hint="eastAsia" w:ascii="黑体" w:hAnsi="黑体" w:eastAsia="黑体" w:cs="黑体"/>
          <w:color w:val="auto"/>
          <w:highlight w:val="none"/>
          <w:lang w:eastAsia="zh-CN"/>
        </w:rPr>
        <w:t>响应文件</w:t>
      </w:r>
      <w:r>
        <w:rPr>
          <w:rFonts w:hint="eastAsia" w:ascii="黑体" w:hAnsi="黑体" w:eastAsia="黑体" w:cs="黑体"/>
          <w:color w:val="auto"/>
          <w:highlight w:val="none"/>
        </w:rPr>
        <w:t>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48</w:t>
      </w:r>
    </w:p>
    <w:p>
      <w:pPr>
        <w:pStyle w:val="29"/>
        <w:tabs>
          <w:tab w:val="right" w:leader="dot" w:pos="9628"/>
        </w:tabs>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第七部分 其他</w:t>
      </w:r>
      <w:r>
        <w:rPr>
          <w:rFonts w:hint="eastAsia" w:ascii="黑体" w:hAnsi="黑体" w:eastAsia="黑体" w:cs="黑体"/>
          <w:color w:val="auto"/>
          <w:highlight w:val="none"/>
          <w:lang w:eastAsia="zh-CN"/>
        </w:rPr>
        <w:t>可选</w:t>
      </w:r>
      <w:r>
        <w:rPr>
          <w:rFonts w:hint="eastAsia" w:ascii="黑体" w:hAnsi="黑体" w:eastAsia="黑体" w:cs="黑体"/>
          <w:color w:val="auto"/>
          <w:highlight w:val="none"/>
        </w:rPr>
        <w:t>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78</w:t>
      </w:r>
    </w:p>
    <w:p>
      <w:pPr>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0"/>
          <w:szCs w:val="44"/>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68004446"/>
      <w:bookmarkStart w:id="8" w:name="_Toc272497407"/>
      <w:bookmarkStart w:id="9" w:name="_Toc273520765"/>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YNZB202231B</w:t>
      </w:r>
    </w:p>
    <w:p>
      <w:pPr>
        <w:autoSpaceDE w:val="0"/>
        <w:autoSpaceDN w:val="0"/>
        <w:spacing w:line="360" w:lineRule="auto"/>
        <w:ind w:firstLine="480" w:firstLineChars="200"/>
        <w:rPr>
          <w:rFonts w:hint="eastAsia"/>
          <w:bCs/>
          <w:color w:val="auto"/>
          <w:sz w:val="24"/>
          <w:highlight w:val="none"/>
          <w:u w:val="singl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广东省妇幼保健院可吸收骨固定系统项目</w:t>
      </w:r>
      <w:r>
        <w:rPr>
          <w:rFonts w:hint="eastAsia"/>
          <w:bCs/>
          <w:color w:val="auto"/>
          <w:sz w:val="24"/>
          <w:highlight w:val="none"/>
          <w:u w:val="single"/>
          <w:lang w:val="zh-CN" w:eastAsia="zh-CN"/>
        </w:rPr>
        <w:t>（</w:t>
      </w:r>
      <w:r>
        <w:rPr>
          <w:rFonts w:hint="eastAsia"/>
          <w:bCs/>
          <w:color w:val="auto"/>
          <w:sz w:val="24"/>
          <w:highlight w:val="none"/>
          <w:u w:val="single"/>
          <w:lang w:val="en-US" w:eastAsia="zh-CN"/>
        </w:rPr>
        <w:t>重招）</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可吸收骨固定系统</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2950元/套</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pStyle w:val="41"/>
        <w:spacing w:before="0" w:beforeAutospacing="0" w:after="0" w:afterAutospacing="0" w:line="360" w:lineRule="auto"/>
        <w:ind w:firstLine="480" w:firstLineChars="200"/>
        <w:rPr>
          <w:rFonts w:hint="eastAsia"/>
          <w:color w:val="auto"/>
          <w:highlight w:val="none"/>
          <w:lang w:val="zh-CN"/>
        </w:rPr>
      </w:pPr>
      <w:r>
        <w:rPr>
          <w:rFonts w:hint="eastAsia" w:ascii="宋体" w:hAnsi="宋体" w:cs="宋体"/>
          <w:color w:val="auto"/>
          <w:sz w:val="24"/>
        </w:rPr>
        <w:t>7、</w:t>
      </w:r>
      <w:r>
        <w:rPr>
          <w:rFonts w:hint="eastAsia" w:ascii="宋体" w:hAnsi="宋体" w:cs="宋体"/>
          <w:color w:val="auto"/>
          <w:sz w:val="24"/>
          <w:lang w:val="zh-CN"/>
        </w:rPr>
        <w:t>本项目不接受联合体响应。</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内容、格式自拟，下同，</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(提供声明，内容、格式自拟）</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1．符合资格的供应商应当在2022年</w:t>
      </w:r>
      <w:r>
        <w:rPr>
          <w:rFonts w:hint="eastAsia" w:ascii="宋体" w:hAnsi="宋体" w:cs="宋体"/>
          <w:color w:val="auto"/>
          <w:sz w:val="24"/>
          <w:szCs w:val="24"/>
          <w:highlight w:val="none"/>
          <w:lang w:val="en-US" w:eastAsia="zh-CN" w:bidi="ar-SA"/>
        </w:rPr>
        <w:t>10</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17</w:t>
      </w:r>
      <w:r>
        <w:rPr>
          <w:rFonts w:hint="eastAsia" w:ascii="宋体" w:hAnsi="宋体" w:eastAsia="宋体" w:cs="宋体"/>
          <w:color w:val="auto"/>
          <w:sz w:val="24"/>
          <w:szCs w:val="24"/>
          <w:highlight w:val="none"/>
          <w:lang w:val="en-US" w:eastAsia="zh-CN" w:bidi="ar-SA"/>
        </w:rPr>
        <w:t>日起至2022年</w:t>
      </w:r>
      <w:r>
        <w:rPr>
          <w:rFonts w:hint="eastAsia" w:ascii="宋体" w:hAnsi="宋体" w:cs="宋体"/>
          <w:color w:val="auto"/>
          <w:sz w:val="24"/>
          <w:szCs w:val="24"/>
          <w:highlight w:val="none"/>
          <w:lang w:val="en-US" w:eastAsia="zh-CN" w:bidi="ar-SA"/>
        </w:rPr>
        <w:t>10</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24</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3．报名供应商需在2022年</w:t>
      </w:r>
      <w:r>
        <w:rPr>
          <w:rFonts w:hint="eastAsia" w:ascii="宋体" w:hAnsi="宋体" w:cs="宋体"/>
          <w:color w:val="auto"/>
          <w:sz w:val="24"/>
          <w:szCs w:val="24"/>
          <w:highlight w:val="none"/>
          <w:lang w:val="en-US" w:eastAsia="zh-CN" w:bidi="ar-SA"/>
        </w:rPr>
        <w:t>10</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24</w:t>
      </w:r>
      <w:r>
        <w:rPr>
          <w:rFonts w:hint="eastAsia" w:ascii="宋体" w:hAnsi="宋体" w:eastAsia="宋体" w:cs="宋体"/>
          <w:color w:val="auto"/>
          <w:sz w:val="24"/>
          <w:szCs w:val="24"/>
          <w:highlight w:val="none"/>
          <w:lang w:val="en-US" w:eastAsia="zh-CN" w:bidi="ar-SA"/>
        </w:rPr>
        <w:t>日17时前将磋商文件发售登记表（单面打印并加盖公章）、汇款回执（单面复印/打印，A4大小）和第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bookmarkStart w:id="260" w:name="_GoBack"/>
      <w:bookmarkEnd w:id="260"/>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ascii="宋体" w:hAnsi="宋体" w:eastAsia="宋体" w:cs="宋体"/>
          <w:b w:val="0"/>
          <w:bCs w:val="0"/>
          <w:color w:val="auto"/>
          <w:sz w:val="24"/>
          <w:lang w:eastAsia="zh-CN"/>
        </w:rPr>
        <w:t>可吸收骨固定系统</w:t>
      </w:r>
      <w:r>
        <w:rPr>
          <w:rFonts w:hint="eastAsia" w:ascii="宋体" w:hAnsi="宋体" w:cs="宋体"/>
          <w:b w:val="0"/>
          <w:bCs w:val="0"/>
          <w:color w:val="auto"/>
          <w:sz w:val="24"/>
          <w:lang w:eastAsia="zh-CN"/>
        </w:rPr>
        <w:t>（</w:t>
      </w:r>
      <w:r>
        <w:rPr>
          <w:rFonts w:hint="eastAsia" w:ascii="宋体" w:hAnsi="宋体" w:cs="宋体"/>
          <w:b w:val="0"/>
          <w:bCs w:val="0"/>
          <w:color w:val="auto"/>
          <w:sz w:val="24"/>
          <w:lang w:val="en-US" w:eastAsia="zh-CN"/>
        </w:rPr>
        <w:t>重招）</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YNZB202231B</w:t>
      </w:r>
      <w:r>
        <w:rPr>
          <w:rFonts w:hint="eastAsia" w:ascii="宋体" w:hAnsi="宋体" w:eastAsia="宋体" w:cs="宋体"/>
          <w:b w:val="0"/>
          <w:bCs w:val="0"/>
          <w:color w:val="auto"/>
          <w:sz w:val="24"/>
        </w:rPr>
        <w:t>+公司名（以收到邮件的时候为准，不接受超过上述时限的报名），邮件正文需包含联系人与联系方式，在接收到报名邮件后，工作人员将于一个工作日内回复邮件，若超时未回复，请来电咨询；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截止时间：202</w:t>
      </w:r>
      <w:r>
        <w:rPr>
          <w:rFonts w:hint="eastAsia" w:ascii="宋体" w:hAnsi="宋体" w:eastAsia="宋体" w:cs="宋体"/>
          <w:color w:val="auto"/>
          <w:sz w:val="24"/>
          <w:lang w:val="en-US" w:eastAsia="zh-CN"/>
        </w:rPr>
        <w:t>2</w:t>
      </w:r>
      <w:r>
        <w:rPr>
          <w:rFonts w:hint="eastAsia" w:ascii="宋体" w:hAnsi="宋体" w:eastAsia="宋体" w:cs="宋体"/>
          <w:color w:val="auto"/>
          <w:sz w:val="24"/>
        </w:rPr>
        <w:t>年</w:t>
      </w:r>
      <w:r>
        <w:rPr>
          <w:rFonts w:hint="eastAsia" w:cs="宋体"/>
          <w:color w:val="auto"/>
          <w:sz w:val="24"/>
          <w:lang w:val="en-US" w:eastAsia="zh-CN"/>
        </w:rPr>
        <w:t>10</w:t>
      </w:r>
      <w:r>
        <w:rPr>
          <w:rFonts w:hint="eastAsia" w:ascii="宋体" w:hAnsi="宋体" w:eastAsia="宋体" w:cs="宋体"/>
          <w:color w:val="auto"/>
          <w:sz w:val="24"/>
        </w:rPr>
        <w:t>月</w:t>
      </w:r>
      <w:r>
        <w:rPr>
          <w:rFonts w:hint="eastAsia" w:cs="宋体"/>
          <w:color w:val="auto"/>
          <w:sz w:val="24"/>
          <w:lang w:val="en-US" w:eastAsia="zh-CN"/>
        </w:rPr>
        <w:t>27</w:t>
      </w:r>
      <w:r>
        <w:rPr>
          <w:rFonts w:hint="eastAsia" w:ascii="宋体" w:hAnsi="宋体" w:eastAsia="宋体" w:cs="宋体"/>
          <w:color w:val="auto"/>
          <w:sz w:val="24"/>
        </w:rPr>
        <w:t>日</w:t>
      </w:r>
      <w:r>
        <w:rPr>
          <w:rFonts w:hint="eastAsia" w:cs="宋体"/>
          <w:color w:val="auto"/>
          <w:sz w:val="24"/>
          <w:lang w:val="en-US" w:eastAsia="zh-CN"/>
        </w:rPr>
        <w:t>15</w:t>
      </w:r>
      <w:r>
        <w:rPr>
          <w:rFonts w:hint="eastAsia" w:ascii="宋体" w:hAnsi="宋体" w:eastAsia="宋体" w:cs="宋体"/>
          <w:color w:val="auto"/>
          <w:sz w:val="24"/>
        </w:rPr>
        <w:t>:</w:t>
      </w:r>
      <w:r>
        <w:rPr>
          <w:rFonts w:hint="eastAsia" w:cs="宋体"/>
          <w:color w:val="auto"/>
          <w:sz w:val="24"/>
          <w:lang w:val="en-US" w:eastAsia="zh-CN"/>
        </w:rPr>
        <w:t>0</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（注 </w:t>
      </w:r>
      <w:r>
        <w:rPr>
          <w:rFonts w:hint="eastAsia" w:cs="宋体"/>
          <w:color w:val="auto"/>
          <w:sz w:val="24"/>
          <w:lang w:val="en-US" w:eastAsia="zh-CN"/>
        </w:rPr>
        <w:t>14</w:t>
      </w:r>
      <w:r>
        <w:rPr>
          <w:rFonts w:hint="eastAsia" w:ascii="宋体" w:hAnsi="宋体" w:eastAsia="宋体" w:cs="宋体"/>
          <w:color w:val="auto"/>
          <w:sz w:val="24"/>
        </w:rPr>
        <w:t>:</w:t>
      </w:r>
      <w:r>
        <w:rPr>
          <w:rFonts w:hint="eastAsia" w:cs="宋体"/>
          <w:color w:val="auto"/>
          <w:sz w:val="24"/>
          <w:lang w:val="en-US" w:eastAsia="zh-CN"/>
        </w:rPr>
        <w:t>4</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ascii="宋体" w:hAnsi="宋体" w:eastAsia="宋体" w:cs="宋体"/>
          <w:color w:val="auto"/>
          <w:sz w:val="24"/>
          <w:szCs w:val="24"/>
        </w:rPr>
        <w:t>由于疫情期间</w:t>
      </w:r>
      <w:r>
        <w:rPr>
          <w:rFonts w:hint="eastAsia" w:cs="宋体"/>
          <w:color w:val="auto"/>
          <w:sz w:val="24"/>
          <w:szCs w:val="24"/>
          <w:lang w:val="en-US" w:eastAsia="zh-CN"/>
        </w:rPr>
        <w:t>医院</w:t>
      </w:r>
      <w:r>
        <w:rPr>
          <w:rFonts w:hint="eastAsia" w:ascii="宋体" w:hAnsi="宋体" w:eastAsia="宋体" w:cs="宋体"/>
          <w:color w:val="auto"/>
          <w:sz w:val="24"/>
          <w:szCs w:val="24"/>
        </w:rPr>
        <w:t>实行严格的进出登记制，请供应商提前到达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ascii="宋体" w:hAnsi="宋体" w:eastAsia="宋体" w:cs="宋体"/>
          <w:color w:val="auto"/>
          <w:sz w:val="24"/>
          <w:lang w:val="en-US" w:eastAsia="zh-CN"/>
        </w:rPr>
        <w:t>2</w:t>
      </w:r>
      <w:r>
        <w:rPr>
          <w:rFonts w:hint="eastAsia" w:ascii="宋体" w:hAnsi="宋体" w:eastAsia="宋体" w:cs="宋体"/>
          <w:color w:val="auto"/>
          <w:sz w:val="24"/>
        </w:rPr>
        <w:t>年</w:t>
      </w:r>
      <w:r>
        <w:rPr>
          <w:rFonts w:hint="eastAsia" w:cs="宋体"/>
          <w:color w:val="auto"/>
          <w:sz w:val="24"/>
          <w:lang w:val="en-US" w:eastAsia="zh-CN"/>
        </w:rPr>
        <w:t>10</w:t>
      </w:r>
      <w:r>
        <w:rPr>
          <w:rFonts w:hint="eastAsia" w:ascii="宋体" w:hAnsi="宋体" w:eastAsia="宋体" w:cs="宋体"/>
          <w:color w:val="auto"/>
          <w:sz w:val="24"/>
        </w:rPr>
        <w:t>月</w:t>
      </w:r>
      <w:r>
        <w:rPr>
          <w:rFonts w:hint="eastAsia" w:cs="宋体"/>
          <w:color w:val="auto"/>
          <w:sz w:val="24"/>
          <w:lang w:val="en-US" w:eastAsia="zh-CN"/>
        </w:rPr>
        <w:t>27</w:t>
      </w:r>
      <w:r>
        <w:rPr>
          <w:rFonts w:hint="eastAsia" w:ascii="宋体" w:hAnsi="宋体" w:eastAsia="宋体" w:cs="宋体"/>
          <w:color w:val="auto"/>
          <w:sz w:val="24"/>
        </w:rPr>
        <w:t>日</w:t>
      </w:r>
      <w:r>
        <w:rPr>
          <w:rFonts w:hint="eastAsia" w:cs="宋体"/>
          <w:color w:val="auto"/>
          <w:sz w:val="24"/>
          <w:lang w:val="en-US" w:eastAsia="zh-CN"/>
        </w:rPr>
        <w:t>15</w:t>
      </w:r>
      <w:r>
        <w:rPr>
          <w:rFonts w:hint="eastAsia" w:ascii="宋体" w:hAnsi="宋体" w:eastAsia="宋体" w:cs="宋体"/>
          <w:color w:val="auto"/>
          <w:sz w:val="24"/>
        </w:rPr>
        <w:t>:</w:t>
      </w:r>
      <w:r>
        <w:rPr>
          <w:rFonts w:hint="eastAsia" w:cs="宋体"/>
          <w:color w:val="auto"/>
          <w:sz w:val="24"/>
          <w:lang w:val="en-US" w:eastAsia="zh-CN"/>
        </w:rPr>
        <w:t>0</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cs="宋体"/>
          <w:color w:val="auto"/>
          <w:sz w:val="24"/>
          <w:u w:val="single"/>
          <w:lang w:val="en-US" w:eastAsia="zh-CN"/>
        </w:rPr>
        <w:t>5</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为做好疫情防控，请供应商积极了解并严格遵守前来磋商人员所在地和广州的疫情防控措施，以及进入我院院区的要求。</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pStyle w:val="2"/>
        <w:rPr>
          <w:rFonts w:hint="eastAsia"/>
          <w:b/>
          <w:bCs/>
          <w:color w:val="auto"/>
          <w:sz w:val="24"/>
          <w:szCs w:val="24"/>
          <w:highlight w:val="none"/>
        </w:rPr>
      </w:pP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22</w:t>
      </w:r>
      <w:r>
        <w:rPr>
          <w:rFonts w:hint="eastAsia"/>
          <w:b w:val="0"/>
          <w:bCs w:val="0"/>
          <w:color w:val="auto"/>
          <w:sz w:val="24"/>
          <w:szCs w:val="24"/>
          <w:highlight w:val="none"/>
        </w:rPr>
        <w:t>年</w:t>
      </w:r>
      <w:r>
        <w:rPr>
          <w:rFonts w:hint="eastAsia"/>
          <w:b w:val="0"/>
          <w:bCs w:val="0"/>
          <w:color w:val="auto"/>
          <w:sz w:val="24"/>
          <w:szCs w:val="24"/>
          <w:highlight w:val="none"/>
          <w:lang w:val="en-US" w:eastAsia="zh-CN"/>
        </w:rPr>
        <w:t>10</w:t>
      </w:r>
      <w:r>
        <w:rPr>
          <w:rFonts w:hint="eastAsia"/>
          <w:b w:val="0"/>
          <w:bCs w:val="0"/>
          <w:color w:val="auto"/>
          <w:sz w:val="24"/>
          <w:szCs w:val="24"/>
          <w:highlight w:val="none"/>
        </w:rPr>
        <w:t>月</w:t>
      </w:r>
      <w:r>
        <w:rPr>
          <w:rFonts w:hint="eastAsia"/>
          <w:b w:val="0"/>
          <w:bCs w:val="0"/>
          <w:color w:val="auto"/>
          <w:sz w:val="24"/>
          <w:szCs w:val="24"/>
          <w:highlight w:val="none"/>
          <w:lang w:val="en-US" w:eastAsia="zh-CN"/>
        </w:rPr>
        <w:t>17</w:t>
      </w:r>
      <w:r>
        <w:rPr>
          <w:rFonts w:hint="eastAsia"/>
          <w:b w:val="0"/>
          <w:bCs w:val="0"/>
          <w:color w:val="auto"/>
          <w:sz w:val="24"/>
          <w:szCs w:val="24"/>
          <w:highlight w:val="none"/>
        </w:rPr>
        <w:t>日</w:t>
      </w:r>
      <w:bookmarkEnd w:id="5"/>
      <w:bookmarkEnd w:id="6"/>
      <w:bookmarkEnd w:id="10"/>
    </w:p>
    <w:p>
      <w:pPr>
        <w:spacing w:before="200" w:after="200" w:line="360" w:lineRule="auto"/>
        <w:jc w:val="right"/>
        <w:outlineLvl w:val="9"/>
        <w:rPr>
          <w:rFonts w:hint="eastAsia"/>
          <w:color w:val="auto"/>
          <w:sz w:val="22"/>
          <w:szCs w:val="22"/>
          <w:highlight w:val="none"/>
        </w:rPr>
      </w:pPr>
      <w:r>
        <w:rPr>
          <w:rFonts w:hint="eastAsia"/>
          <w:color w:val="auto"/>
          <w:sz w:val="22"/>
          <w:szCs w:val="22"/>
          <w:highlight w:val="none"/>
        </w:rPr>
        <w:br w:type="page"/>
      </w:r>
      <w:bookmarkStart w:id="11" w:name="_Toc41884682"/>
      <w:bookmarkStart w:id="12" w:name="_Toc101843108"/>
      <w:bookmarkStart w:id="13" w:name="_Toc41723912"/>
      <w:bookmarkStart w:id="14" w:name="_Toc98035084"/>
      <w:bookmarkStart w:id="15" w:name="_Toc98579590"/>
      <w:bookmarkStart w:id="16" w:name="_Toc272497408"/>
      <w:bookmarkStart w:id="17" w:name="_Toc98580273"/>
      <w:bookmarkStart w:id="18" w:name="_Toc42313150"/>
      <w:bookmarkStart w:id="19" w:name="_Toc175644385"/>
      <w:bookmarkStart w:id="20" w:name="_Toc42394495"/>
      <w:bookmarkStart w:id="21" w:name="_Toc46308679"/>
      <w:bookmarkStart w:id="22" w:name="_Toc101771355"/>
      <w:bookmarkStart w:id="23" w:name="_Toc42394652"/>
      <w:bookmarkStart w:id="24" w:name="_Toc101951241"/>
      <w:bookmarkStart w:id="25" w:name="_Toc98579049"/>
      <w:bookmarkStart w:id="26" w:name="_Toc98578991"/>
      <w:bookmarkStart w:id="27" w:name="_Toc273520766"/>
      <w:bookmarkStart w:id="28" w:name="_Toc46308523"/>
      <w:bookmarkStart w:id="29" w:name="_Toc101775108"/>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40762371"/>
      <w:bookmarkEnd w:id="30"/>
      <w:bookmarkStart w:id="31" w:name="_Toc46308684"/>
      <w:bookmarkEnd w:id="31"/>
      <w:bookmarkStart w:id="32" w:name="_Toc37663392"/>
      <w:bookmarkEnd w:id="32"/>
      <w:bookmarkStart w:id="33" w:name="_Toc46308528"/>
      <w:bookmarkEnd w:id="33"/>
      <w:bookmarkStart w:id="34" w:name="_Toc37569520"/>
      <w:bookmarkEnd w:id="34"/>
      <w:bookmarkStart w:id="35" w:name="_Toc37331039"/>
      <w:bookmarkEnd w:id="35"/>
      <w:bookmarkStart w:id="36" w:name="_Toc37331081"/>
      <w:bookmarkEnd w:id="36"/>
      <w:bookmarkStart w:id="37" w:name="_Toc37581421"/>
      <w:bookmarkEnd w:id="37"/>
      <w:bookmarkStart w:id="38" w:name="_Toc37245277"/>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ascii="宋体" w:hAnsi="宋体" w:cs="宋体"/>
          <w:color w:val="auto"/>
          <w:sz w:val="24"/>
          <w:szCs w:val="24"/>
          <w:lang w:eastAsia="zh-CN"/>
        </w:rPr>
        <w:t>广东省妇幼保健院采购</w:t>
      </w:r>
      <w:r>
        <w:rPr>
          <w:rFonts w:hint="eastAsia" w:cs="宋体"/>
          <w:color w:val="auto"/>
          <w:sz w:val="24"/>
          <w:szCs w:val="24"/>
          <w:lang w:eastAsia="zh-CN"/>
        </w:rPr>
        <w:t>可吸收骨固定系统项目</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cs="宋体"/>
          <w:color w:val="auto"/>
          <w:sz w:val="24"/>
          <w:szCs w:val="24"/>
          <w:lang w:eastAsia="zh-CN"/>
        </w:rPr>
        <w:t>可吸收骨固定系统</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cs="宋体"/>
          <w:color w:val="auto"/>
          <w:sz w:val="24"/>
          <w:szCs w:val="24"/>
          <w:lang w:eastAsia="zh-CN"/>
        </w:rPr>
        <w:t>可吸收骨固定系统</w:t>
      </w:r>
      <w:r>
        <w:rPr>
          <w:rFonts w:hint="eastAsia" w:ascii="宋体" w:hAnsi="宋体" w:cs="宋体"/>
          <w:color w:val="auto"/>
          <w:sz w:val="24"/>
          <w:szCs w:val="24"/>
          <w:lang w:eastAsia="zh-CN"/>
        </w:rPr>
        <w:t>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028" w:type="dxa"/>
        <w:tblInd w:w="62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90"/>
        <w:gridCol w:w="2552"/>
        <w:gridCol w:w="27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690" w:type="dxa"/>
            <w:noWrap w:val="0"/>
            <w:vAlign w:val="center"/>
          </w:tcPr>
          <w:p>
            <w:pPr>
              <w:spacing w:line="360" w:lineRule="auto"/>
              <w:jc w:val="center"/>
              <w:textAlignment w:val="center"/>
              <w:rPr>
                <w:rFonts w:hint="eastAsia" w:ascii="宋体" w:hAnsi="宋体" w:cs="宋体"/>
                <w:color w:val="auto"/>
                <w:sz w:val="24"/>
                <w:szCs w:val="24"/>
              </w:rPr>
            </w:pPr>
            <w:r>
              <w:rPr>
                <w:rFonts w:hint="eastAsia" w:ascii="宋体" w:hAnsi="宋体" w:cs="宋体"/>
                <w:color w:val="auto"/>
                <w:kern w:val="0"/>
                <w:sz w:val="24"/>
                <w:szCs w:val="24"/>
                <w:lang w:bidi="ar"/>
              </w:rPr>
              <w:t>采购内容</w:t>
            </w:r>
          </w:p>
        </w:tc>
        <w:tc>
          <w:tcPr>
            <w:tcW w:w="2552" w:type="dxa"/>
            <w:noWrap w:val="0"/>
            <w:vAlign w:val="center"/>
          </w:tcPr>
          <w:p>
            <w:pPr>
              <w:spacing w:line="360" w:lineRule="auto"/>
              <w:jc w:val="center"/>
              <w:textAlignment w:val="center"/>
              <w:rPr>
                <w:rFonts w:hint="eastAsia" w:ascii="宋体" w:hAnsi="宋体" w:cs="宋体"/>
                <w:color w:val="auto"/>
                <w:sz w:val="24"/>
                <w:szCs w:val="24"/>
              </w:rPr>
            </w:pPr>
            <w:r>
              <w:rPr>
                <w:rFonts w:hint="eastAsia" w:ascii="宋体" w:hAnsi="宋体" w:cs="宋体"/>
                <w:color w:val="auto"/>
                <w:kern w:val="0"/>
                <w:sz w:val="24"/>
                <w:szCs w:val="24"/>
                <w:lang w:bidi="ar"/>
              </w:rPr>
              <w:t>数量</w:t>
            </w:r>
          </w:p>
        </w:tc>
        <w:tc>
          <w:tcPr>
            <w:tcW w:w="2786" w:type="dxa"/>
            <w:noWrap w:val="0"/>
            <w:vAlign w:val="center"/>
          </w:tcPr>
          <w:p>
            <w:pPr>
              <w:spacing w:line="360" w:lineRule="auto"/>
              <w:jc w:val="center"/>
              <w:textAlignment w:val="center"/>
              <w:rPr>
                <w:rFonts w:hint="eastAsia" w:ascii="宋体" w:hAnsi="宋体" w:cs="宋体"/>
                <w:color w:val="auto"/>
                <w:kern w:val="0"/>
                <w:sz w:val="24"/>
                <w:szCs w:val="24"/>
                <w:lang w:bidi="ar"/>
              </w:rPr>
            </w:pPr>
            <w:r>
              <w:rPr>
                <w:rFonts w:hint="eastAsia" w:ascii="宋体" w:hAnsi="宋体" w:cs="宋体"/>
                <w:color w:val="auto"/>
                <w:kern w:val="0"/>
                <w:sz w:val="24"/>
                <w:szCs w:val="24"/>
                <w:lang w:bidi="ar"/>
              </w:rPr>
              <w:t>单价最高限价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690" w:type="dxa"/>
            <w:noWrap w:val="0"/>
            <w:vAlign w:val="center"/>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可吸收骨固定系统</w:t>
            </w:r>
          </w:p>
        </w:tc>
        <w:tc>
          <w:tcPr>
            <w:tcW w:w="2552" w:type="dxa"/>
            <w:noWrap w:val="0"/>
            <w:vAlign w:val="center"/>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以实际采购数量为准</w:t>
            </w:r>
          </w:p>
        </w:tc>
        <w:tc>
          <w:tcPr>
            <w:tcW w:w="2786" w:type="dxa"/>
            <w:noWrap w:val="0"/>
            <w:vAlign w:val="center"/>
          </w:tcPr>
          <w:p>
            <w:pPr>
              <w:spacing w:line="360" w:lineRule="auto"/>
              <w:jc w:val="center"/>
              <w:rPr>
                <w:rFonts w:hint="eastAsia" w:ascii="宋体" w:hAnsi="宋体" w:cs="宋体"/>
                <w:color w:val="auto"/>
                <w:sz w:val="24"/>
                <w:szCs w:val="24"/>
                <w:lang w:val="en-US" w:eastAsia="zh-CN"/>
              </w:rPr>
            </w:pPr>
            <w:r>
              <w:rPr>
                <w:rFonts w:hint="eastAsia" w:cs="宋体"/>
                <w:color w:val="auto"/>
                <w:sz w:val="24"/>
                <w:szCs w:val="24"/>
                <w:lang w:val="en-US" w:eastAsia="zh-CN"/>
              </w:rPr>
              <w:t>2950</w:t>
            </w:r>
            <w:r>
              <w:rPr>
                <w:rFonts w:hint="eastAsia" w:ascii="宋体" w:hAnsi="宋体" w:cs="宋体"/>
                <w:color w:val="auto"/>
                <w:sz w:val="24"/>
                <w:szCs w:val="24"/>
              </w:rPr>
              <w:t>元/</w:t>
            </w:r>
            <w:r>
              <w:rPr>
                <w:rFonts w:hint="eastAsia" w:ascii="宋体" w:hAnsi="宋体" w:cs="宋体"/>
                <w:color w:val="auto"/>
                <w:sz w:val="24"/>
                <w:szCs w:val="24"/>
                <w:lang w:val="en-US" w:eastAsia="zh-CN"/>
              </w:rPr>
              <w:t>套</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名称：可吸收骨固定系统</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 xml:space="preserve">用途：用于心脏手术患儿的胸骨、肋骨内固定 </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合同期限：自合同签订生效之日起一年。</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numPr>
          <w:ilvl w:val="0"/>
          <w:numId w:val="0"/>
        </w:numPr>
        <w:spacing w:line="360" w:lineRule="auto"/>
        <w:ind w:leftChars="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 xml:space="preserve">★1、需具有有效的医疗器械注册证、注册证登记表; </w:t>
      </w:r>
    </w:p>
    <w:p>
      <w:pPr>
        <w:numPr>
          <w:ilvl w:val="0"/>
          <w:numId w:val="0"/>
        </w:numPr>
        <w:spacing w:line="360" w:lineRule="auto"/>
        <w:ind w:leftChars="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 xml:space="preserve">▲2、应标型号抗张力≥85MPa，弯曲强度≥175MPa，弯曲弹性率≥5GPa; </w:t>
      </w:r>
    </w:p>
    <w:p>
      <w:pPr>
        <w:numPr>
          <w:ilvl w:val="0"/>
          <w:numId w:val="0"/>
        </w:numPr>
        <w:spacing w:line="360" w:lineRule="auto"/>
        <w:ind w:leftChars="0"/>
        <w:rPr>
          <w:rFonts w:hint="default" w:cs="宋体"/>
          <w:strike w:val="0"/>
          <w:dstrike w:val="0"/>
          <w:color w:val="auto"/>
          <w:sz w:val="24"/>
          <w:szCs w:val="24"/>
          <w:lang w:val="en-US" w:eastAsia="zh-CN"/>
        </w:rPr>
      </w:pPr>
      <w:r>
        <w:rPr>
          <w:rFonts w:hint="eastAsia" w:cs="宋体"/>
          <w:strike w:val="0"/>
          <w:dstrike w:val="0"/>
          <w:color w:val="auto"/>
          <w:sz w:val="24"/>
          <w:szCs w:val="24"/>
          <w:lang w:val="en-US" w:eastAsia="zh-CN"/>
        </w:rPr>
        <w:t>▲3、应标产品型号需适用于儿童;</w:t>
      </w:r>
    </w:p>
    <w:p>
      <w:pPr>
        <w:numPr>
          <w:ilvl w:val="0"/>
          <w:numId w:val="0"/>
        </w:numPr>
        <w:spacing w:line="360" w:lineRule="auto"/>
        <w:ind w:leftChars="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 xml:space="preserve">4、产品有效支撑时间≥240天;  </w:t>
      </w:r>
    </w:p>
    <w:p>
      <w:pPr>
        <w:numPr>
          <w:ilvl w:val="0"/>
          <w:numId w:val="0"/>
        </w:numPr>
        <w:spacing w:line="360" w:lineRule="auto"/>
        <w:ind w:leftChars="0"/>
        <w:rPr>
          <w:rFonts w:hint="default" w:cs="宋体"/>
          <w:strike w:val="0"/>
          <w:dstrike w:val="0"/>
          <w:color w:val="auto"/>
          <w:sz w:val="24"/>
          <w:szCs w:val="24"/>
          <w:lang w:val="en-US" w:eastAsia="zh-CN"/>
        </w:rPr>
      </w:pPr>
      <w:r>
        <w:rPr>
          <w:rFonts w:hint="eastAsia" w:cs="宋体"/>
          <w:strike w:val="0"/>
          <w:dstrike w:val="0"/>
          <w:color w:val="auto"/>
          <w:sz w:val="24"/>
          <w:szCs w:val="24"/>
          <w:lang w:val="en-US" w:eastAsia="zh-CN"/>
        </w:rPr>
        <w:t>▲5、产品可被人体吸收，无需二次手术取出;</w:t>
      </w:r>
    </w:p>
    <w:p>
      <w:pPr>
        <w:numPr>
          <w:ilvl w:val="0"/>
          <w:numId w:val="0"/>
        </w:numPr>
        <w:spacing w:line="360" w:lineRule="auto"/>
        <w:ind w:leftChars="0"/>
        <w:rPr>
          <w:rFonts w:hint="default" w:cs="宋体"/>
          <w:strike w:val="0"/>
          <w:dstrike w:val="0"/>
          <w:color w:val="auto"/>
          <w:sz w:val="24"/>
          <w:szCs w:val="24"/>
          <w:lang w:val="en-US" w:eastAsia="zh-CN"/>
        </w:rPr>
      </w:pPr>
      <w:r>
        <w:rPr>
          <w:rFonts w:hint="eastAsia" w:cs="宋体"/>
          <w:strike w:val="0"/>
          <w:dstrike w:val="0"/>
          <w:color w:val="auto"/>
          <w:sz w:val="24"/>
          <w:szCs w:val="24"/>
          <w:lang w:val="en-US" w:eastAsia="zh-CN"/>
        </w:rPr>
        <w:t>6、产品需经环氧乙烷灭菌消毒;</w:t>
      </w:r>
    </w:p>
    <w:p>
      <w:pPr>
        <w:numPr>
          <w:ilvl w:val="0"/>
          <w:numId w:val="0"/>
        </w:numPr>
        <w:spacing w:line="360" w:lineRule="auto"/>
        <w:ind w:leftChars="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7、产品有效期应≥72个月。</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tblInd w:w="1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ascii="宋体" w:hAnsi="宋体" w:cs="宋体"/>
                <w:color w:val="auto"/>
                <w:sz w:val="24"/>
                <w:szCs w:val="24"/>
              </w:rPr>
              <w:t>可吸收骨固定系统</w:t>
            </w:r>
          </w:p>
        </w:tc>
      </w:tr>
    </w:tbl>
    <w:p>
      <w:pPr>
        <w:spacing w:line="360" w:lineRule="auto"/>
        <w:rPr>
          <w:rFonts w:hint="eastAsia" w:ascii="宋体" w:hAnsi="宋体" w:cs="宋体"/>
          <w:color w:val="auto"/>
          <w:sz w:val="24"/>
          <w:szCs w:val="24"/>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1、</w:t>
      </w:r>
      <w:r>
        <w:rPr>
          <w:rFonts w:hint="eastAsia"/>
          <w:color w:val="auto"/>
          <w:sz w:val="24"/>
          <w:szCs w:val="24"/>
          <w:lang w:eastAsia="zh-CN"/>
        </w:rPr>
        <w:t>提供生产厂家</w:t>
      </w:r>
      <w:r>
        <w:rPr>
          <w:rFonts w:hint="eastAsia"/>
          <w:color w:val="auto"/>
          <w:sz w:val="24"/>
          <w:szCs w:val="24"/>
          <w:lang w:val="zh-CN" w:eastAsia="zh-CN"/>
        </w:rPr>
        <w:t>或厂家合法代理商</w:t>
      </w:r>
      <w:r>
        <w:rPr>
          <w:rFonts w:hint="eastAsia"/>
          <w:color w:val="auto"/>
          <w:sz w:val="24"/>
          <w:szCs w:val="24"/>
          <w:lang w:eastAsia="zh-CN"/>
        </w:rPr>
        <w:t xml:space="preserve">盖章的、有效期内的代理授权书; </w:t>
      </w:r>
      <w:r>
        <w:rPr>
          <w:rFonts w:hint="eastAsia"/>
          <w:color w:val="auto"/>
          <w:sz w:val="24"/>
          <w:szCs w:val="24"/>
          <w:lang w:val="en-US" w:eastAsia="zh-CN"/>
        </w:rPr>
        <w:t xml:space="preserve"> </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2、</w:t>
      </w:r>
      <w:r>
        <w:rPr>
          <w:rFonts w:hint="eastAsia"/>
          <w:color w:val="auto"/>
          <w:sz w:val="24"/>
          <w:szCs w:val="24"/>
          <w:lang w:eastAsia="zh-CN"/>
        </w:rPr>
        <w:t>同一品牌的所有规格型号产品的价格必须一致。</w:t>
      </w:r>
      <w:r>
        <w:rPr>
          <w:rFonts w:hint="eastAsia"/>
          <w:color w:val="auto"/>
          <w:sz w:val="24"/>
          <w:szCs w:val="24"/>
          <w:lang w:val="en-US" w:eastAsia="zh-CN"/>
        </w:rPr>
        <w:t xml:space="preserve"> </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3、</w:t>
      </w:r>
      <w:r>
        <w:rPr>
          <w:rFonts w:hint="eastAsia"/>
          <w:color w:val="auto"/>
          <w:sz w:val="24"/>
          <w:szCs w:val="24"/>
          <w:lang w:eastAsia="zh-CN"/>
        </w:rPr>
        <w:t>保证产品全新、未曾使用过、其质量、规格及技术特征符合国家有关法律规定</w:t>
      </w:r>
      <w:r>
        <w:rPr>
          <w:rFonts w:hint="eastAsia"/>
          <w:color w:val="auto"/>
          <w:sz w:val="24"/>
          <w:szCs w:val="24"/>
          <w:lang w:val="en-US" w:eastAsia="zh-CN"/>
        </w:rPr>
        <w:t>;</w:t>
      </w:r>
    </w:p>
    <w:p>
      <w:pPr>
        <w:pStyle w:val="17"/>
        <w:numPr>
          <w:ilvl w:val="0"/>
          <w:numId w:val="0"/>
        </w:numPr>
        <w:rPr>
          <w:rFonts w:hint="eastAsia"/>
          <w:color w:val="auto"/>
          <w:sz w:val="24"/>
          <w:szCs w:val="24"/>
          <w:lang w:eastAsia="zh-CN"/>
        </w:rPr>
      </w:pPr>
      <w:r>
        <w:rPr>
          <w:rFonts w:hint="eastAsia"/>
          <w:color w:val="auto"/>
          <w:sz w:val="24"/>
          <w:szCs w:val="24"/>
          <w:lang w:val="en-US" w:eastAsia="zh-CN"/>
        </w:rPr>
        <w:t xml:space="preserve">4、可根据科室具体使用需求调整型号配置。  </w:t>
      </w:r>
      <w:r>
        <w:rPr>
          <w:rFonts w:hint="eastAsia"/>
          <w:color w:val="auto"/>
          <w:sz w:val="24"/>
          <w:szCs w:val="24"/>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p>
    <w:p>
      <w:pPr>
        <w:pStyle w:val="124"/>
        <w:ind w:left="0" w:leftChars="0" w:firstLine="0" w:firstLineChars="0"/>
        <w:outlineLvl w:val="9"/>
        <w:rPr>
          <w:rFonts w:hint="eastAsia"/>
          <w:color w:val="auto"/>
          <w:sz w:val="24"/>
          <w:szCs w:val="24"/>
          <w:highlight w:val="none"/>
        </w:rPr>
      </w:pPr>
      <w:r>
        <w:rPr>
          <w:rFonts w:ascii="宋体" w:hAnsi="宋体" w:eastAsia="宋体" w:cs="宋体"/>
          <w:b/>
          <w:bCs/>
          <w:color w:val="auto"/>
          <w:sz w:val="28"/>
          <w:szCs w:val="28"/>
        </w:rPr>
        <w:br w:type="page"/>
      </w: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101951257"/>
      <w:bookmarkStart w:id="40" w:name="_Toc50276156"/>
      <w:bookmarkStart w:id="41" w:name="_Toc98035088"/>
      <w:bookmarkStart w:id="42" w:name="_Toc98579609"/>
      <w:bookmarkStart w:id="43" w:name="_Toc37581420"/>
      <w:bookmarkStart w:id="44" w:name="_Toc98579068"/>
      <w:bookmarkStart w:id="45" w:name="_Toc50276195"/>
      <w:bookmarkStart w:id="46" w:name="_Toc98579010"/>
      <w:bookmarkStart w:id="47" w:name="_Toc98580292"/>
      <w:bookmarkStart w:id="48" w:name="_Toc37331080"/>
      <w:bookmarkStart w:id="49" w:name="_Toc175644388"/>
      <w:bookmarkStart w:id="50" w:name="_Toc272497412"/>
      <w:bookmarkStart w:id="51" w:name="_Toc37331038"/>
      <w:bookmarkStart w:id="52" w:name="_Toc37663391"/>
      <w:bookmarkStart w:id="53" w:name="_Toc37569519"/>
      <w:bookmarkStart w:id="54" w:name="_Toc46308527"/>
      <w:bookmarkStart w:id="55" w:name="_Toc101843124"/>
      <w:bookmarkStart w:id="56" w:name="_Toc46308683"/>
      <w:bookmarkStart w:id="57" w:name="_Toc101775124"/>
      <w:bookmarkStart w:id="58" w:name="_Toc37245276"/>
      <w:bookmarkStart w:id="59" w:name="_Toc40762370"/>
      <w:bookmarkStart w:id="60" w:name="_Toc273520767"/>
      <w:bookmarkStart w:id="61" w:name="_Toc101771371"/>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8</w:t>
      </w:r>
      <w:r>
        <w:rPr>
          <w:rFonts w:hint="default" w:ascii="宋体" w:hAnsi="宋体" w:eastAsia="宋体" w:cs="宋体"/>
          <w:strike w:val="0"/>
          <w:dstrike w:val="0"/>
          <w:color w:val="auto"/>
          <w:sz w:val="24"/>
          <w:szCs w:val="24"/>
          <w:lang w:val="en-US" w:eastAsia="zh-CN"/>
        </w:rPr>
        <w:t>.“磋商小组”是指</w:t>
      </w:r>
      <w:r>
        <w:rPr>
          <w:rFonts w:hint="eastAsia" w:ascii="宋体" w:hAnsi="宋体" w:eastAsia="宋体" w:cs="宋体"/>
          <w:strike w:val="0"/>
          <w:dstrike w:val="0"/>
          <w:color w:val="auto"/>
          <w:sz w:val="24"/>
          <w:szCs w:val="24"/>
          <w:lang w:val="en-US" w:eastAsia="zh-CN"/>
        </w:rPr>
        <w:t>：是指</w:t>
      </w:r>
      <w:r>
        <w:rPr>
          <w:rFonts w:hint="eastAsia" w:eastAsia="宋体" w:cs="宋体"/>
          <w:strike w:val="0"/>
          <w:dstrike w:val="0"/>
          <w:color w:val="auto"/>
          <w:sz w:val="24"/>
          <w:szCs w:val="24"/>
          <w:lang w:val="en-US" w:eastAsia="zh-CN"/>
        </w:rPr>
        <w:t>参照</w:t>
      </w:r>
      <w:r>
        <w:rPr>
          <w:rFonts w:hint="eastAsia" w:ascii="宋体" w:hAnsi="宋体" w:eastAsia="宋体" w:cs="宋体"/>
          <w:strike w:val="0"/>
          <w:dstrike w:val="0"/>
          <w:color w:val="auto"/>
          <w:sz w:val="24"/>
          <w:szCs w:val="24"/>
          <w:lang w:val="en-US" w:eastAsia="zh-CN"/>
        </w:rPr>
        <w:t>《中华人民共和国政府采购法》等法律法规规定，由采购人代表和有关评审专家组成以确定成交供应商或者推荐成交候选供应商的临时组织。</w:t>
      </w:r>
    </w:p>
    <w:p>
      <w:pPr>
        <w:numPr>
          <w:ilvl w:val="0"/>
          <w:numId w:val="0"/>
        </w:numPr>
        <w:spacing w:line="360" w:lineRule="auto"/>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 xml:space="preserve">□电子标，不收取纸质标书。 </w:t>
            </w:r>
          </w:p>
          <w:p>
            <w:pPr>
              <w:spacing w:line="288" w:lineRule="auto"/>
              <w:jc w:val="both"/>
              <w:rPr>
                <w:rFonts w:hint="eastAsia" w:ascii="宋体" w:hAnsi="宋体" w:cs="Times New Roman"/>
                <w:bCs/>
                <w:color w:val="auto"/>
                <w:kern w:val="2"/>
                <w:szCs w:val="21"/>
                <w:lang w:eastAsia="zh-CN"/>
              </w:rPr>
            </w:pPr>
            <w:r>
              <w:rPr>
                <w:rFonts w:hint="eastAsia" w:ascii="宋体" w:hAnsi="宋体" w:cs="Times New Roman"/>
                <w:bCs/>
                <w:color w:val="auto"/>
                <w:kern w:val="2"/>
                <w:szCs w:val="21"/>
              </w:rPr>
              <w:t>☑</w:t>
            </w:r>
            <w:r>
              <w:rPr>
                <w:rFonts w:hint="eastAsia" w:cs="Times New Roman"/>
                <w:bCs/>
                <w:color w:val="auto"/>
                <w:kern w:val="2"/>
                <w:szCs w:val="21"/>
                <w:lang w:val="en-US" w:eastAsia="zh-CN"/>
              </w:rPr>
              <w:t xml:space="preserve"> </w:t>
            </w:r>
            <w:r>
              <w:rPr>
                <w:rFonts w:hint="eastAsia" w:ascii="宋体" w:hAnsi="宋体" w:cs="Times New Roman"/>
                <w:bCs/>
                <w:color w:val="auto"/>
                <w:kern w:val="2"/>
                <w:szCs w:val="21"/>
              </w:rPr>
              <w:t>正本</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份、副本</w:t>
            </w:r>
            <w:r>
              <w:rPr>
                <w:rFonts w:hint="eastAsia" w:ascii="宋体" w:hAnsi="宋体" w:cs="Times New Roman"/>
                <w:bCs/>
                <w:color w:val="auto"/>
                <w:kern w:val="2"/>
                <w:szCs w:val="21"/>
                <w:u w:val="single"/>
              </w:rPr>
              <w:t xml:space="preserve"> </w:t>
            </w:r>
            <w:r>
              <w:rPr>
                <w:rFonts w:hint="default" w:cs="Times New Roman"/>
                <w:bCs/>
                <w:color w:val="auto"/>
                <w:kern w:val="2"/>
                <w:szCs w:val="21"/>
                <w:u w:val="single"/>
              </w:rPr>
              <w:t>5</w:t>
            </w:r>
            <w:r>
              <w:rPr>
                <w:rFonts w:hint="eastAsia" w:ascii="宋体" w:hAnsi="宋体" w:cs="Times New Roman"/>
                <w:bCs/>
                <w:color w:val="auto"/>
                <w:kern w:val="2"/>
                <w:szCs w:val="21"/>
                <w:u w:val="single"/>
              </w:rPr>
              <w:t xml:space="preserve"> </w:t>
            </w:r>
            <w:r>
              <w:rPr>
                <w:rFonts w:hint="eastAsia" w:ascii="宋体" w:hAnsi="宋体" w:cs="Times New Roman"/>
                <w:bCs/>
                <w:color w:val="auto"/>
                <w:kern w:val="2"/>
                <w:szCs w:val="21"/>
              </w:rPr>
              <w:t>份。电子文件（光盘或U盘）</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副本可为正本的复印件，若副本与正本不符，以正本为准。电子文件采用正本签字盖章后的扫描件。</w:t>
            </w:r>
          </w:p>
          <w:p>
            <w:pPr>
              <w:spacing w:line="288" w:lineRule="auto"/>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eastAsia="zh-CN"/>
              </w:rPr>
              <w:t>所有响应文件（包括正本和副本）均须在封面加盖公章</w:t>
            </w:r>
            <w:r>
              <w:rPr>
                <w:rFonts w:hint="eastAsia" w:cs="Times New Roman"/>
                <w:bCs/>
                <w:color w:val="auto"/>
                <w:kern w:val="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175644386"/>
      <w:bookmarkStart w:id="63" w:name="_Toc272497409"/>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98579053"/>
      <w:bookmarkStart w:id="66" w:name="_Toc101843112"/>
      <w:bookmarkStart w:id="67" w:name="_Toc101771359"/>
      <w:bookmarkStart w:id="68" w:name="_Toc134956119"/>
      <w:bookmarkStart w:id="69" w:name="_Toc101951245"/>
      <w:bookmarkStart w:id="70" w:name="_Toc42313155"/>
      <w:bookmarkStart w:id="71" w:name="_Toc101775112"/>
      <w:bookmarkStart w:id="72" w:name="_Toc41884687"/>
      <w:bookmarkStart w:id="73" w:name="_Toc98580277"/>
      <w:bookmarkStart w:id="74" w:name="_Toc98579594"/>
      <w:bookmarkStart w:id="75" w:name="_Toc41723917"/>
      <w:bookmarkStart w:id="76" w:name="_Toc42394657"/>
      <w:bookmarkStart w:id="77" w:name="_Toc50276141"/>
      <w:bookmarkStart w:id="78" w:name="_Toc42394500"/>
      <w:bookmarkStart w:id="79" w:name="_Toc98578995"/>
      <w:bookmarkStart w:id="80" w:name="_Toc134956120"/>
      <w:bookmarkStart w:id="81" w:name="_Toc101843113"/>
      <w:bookmarkStart w:id="82" w:name="_Toc101771360"/>
      <w:bookmarkStart w:id="83" w:name="_Toc98580279"/>
      <w:bookmarkStart w:id="84" w:name="_Toc98578997"/>
      <w:bookmarkStart w:id="85" w:name="_Toc101951246"/>
      <w:bookmarkStart w:id="86" w:name="_Toc50276143"/>
      <w:bookmarkStart w:id="87" w:name="_Toc98579055"/>
      <w:bookmarkStart w:id="88" w:name="_Toc42394502"/>
      <w:bookmarkStart w:id="89" w:name="_Toc42394659"/>
      <w:bookmarkStart w:id="90" w:name="_Toc42313157"/>
      <w:bookmarkStart w:id="91" w:name="_Toc98579596"/>
      <w:bookmarkStart w:id="92" w:name="_Toc101775113"/>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42313156"/>
      <w:bookmarkStart w:id="94" w:name="_Toc98579054"/>
      <w:bookmarkStart w:id="95" w:name="_Toc98578996"/>
      <w:bookmarkStart w:id="96" w:name="_Toc101775114"/>
      <w:bookmarkStart w:id="97" w:name="_Toc41884688"/>
      <w:bookmarkStart w:id="98" w:name="_Toc42394658"/>
      <w:bookmarkStart w:id="99" w:name="_Toc134956122"/>
      <w:bookmarkStart w:id="100" w:name="_Toc41723918"/>
      <w:bookmarkStart w:id="101" w:name="_Toc101951247"/>
      <w:bookmarkStart w:id="102" w:name="_Toc98580278"/>
      <w:bookmarkStart w:id="103" w:name="_Toc101843114"/>
      <w:bookmarkStart w:id="104" w:name="_Toc101771361"/>
      <w:bookmarkStart w:id="105" w:name="_Toc98579595"/>
      <w:bookmarkStart w:id="106" w:name="_Toc42394501"/>
      <w:bookmarkStart w:id="107" w:name="_Toc50276142"/>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在确定成交供应商之前，供应商不得与采购人就价格、方案等实质性内容进行谈判，也不得私下接触磋商小组成员。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5115"/>
      <w:bookmarkStart w:id="109" w:name="_Toc272497410"/>
      <w:bookmarkStart w:id="110" w:name="_Toc101843115"/>
      <w:bookmarkStart w:id="111" w:name="_Toc101771362"/>
      <w:bookmarkStart w:id="112" w:name="_Toc101951248"/>
      <w:bookmarkStart w:id="113" w:name="_Toc134956124"/>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98579598"/>
      <w:bookmarkStart w:id="116" w:name="_Toc101951249"/>
      <w:bookmarkStart w:id="117" w:name="_Toc101775116"/>
      <w:bookmarkStart w:id="118" w:name="_Toc41723923"/>
      <w:bookmarkStart w:id="119" w:name="_Toc50276193"/>
      <w:bookmarkStart w:id="120" w:name="_Toc98579057"/>
      <w:bookmarkStart w:id="121" w:name="_Toc41884693"/>
      <w:bookmarkStart w:id="122" w:name="_Toc42313159"/>
      <w:bookmarkStart w:id="123" w:name="_Toc175644387"/>
      <w:bookmarkStart w:id="124" w:name="_Toc98578999"/>
      <w:bookmarkStart w:id="125" w:name="_Toc42394661"/>
      <w:bookmarkStart w:id="126" w:name="_Toc46308525"/>
      <w:bookmarkStart w:id="127" w:name="_Toc272497411"/>
      <w:bookmarkStart w:id="128" w:name="_Toc98035086"/>
      <w:bookmarkStart w:id="129" w:name="_Toc101843116"/>
      <w:bookmarkStart w:id="130" w:name="_Toc46308681"/>
      <w:bookmarkStart w:id="131" w:name="_Toc50276145"/>
      <w:bookmarkStart w:id="132" w:name="_Toc42394504"/>
      <w:bookmarkStart w:id="133" w:name="_Toc101771363"/>
      <w:bookmarkStart w:id="134" w:name="_Toc98580281"/>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42394506"/>
      <w:bookmarkStart w:id="136" w:name="_Toc41884695"/>
      <w:bookmarkStart w:id="137" w:name="_Toc50276147"/>
      <w:bookmarkStart w:id="138" w:name="_Toc42394663"/>
      <w:bookmarkStart w:id="139" w:name="_Toc101843118"/>
      <w:bookmarkStart w:id="140" w:name="_Toc42313161"/>
      <w:bookmarkStart w:id="141" w:name="_Toc101951251"/>
      <w:bookmarkStart w:id="142" w:name="_Toc98579600"/>
      <w:bookmarkStart w:id="143" w:name="_Toc101775118"/>
      <w:bookmarkStart w:id="144" w:name="_Toc134956127"/>
      <w:bookmarkStart w:id="145" w:name="_Toc41723925"/>
      <w:bookmarkStart w:id="146" w:name="_Toc98579001"/>
      <w:bookmarkStart w:id="147" w:name="_Toc98580283"/>
      <w:bookmarkStart w:id="148" w:name="_Toc101771365"/>
      <w:bookmarkStart w:id="149" w:name="_Toc98579059"/>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775119"/>
      <w:bookmarkStart w:id="151" w:name="_Toc101951252"/>
      <w:bookmarkStart w:id="152" w:name="_Toc101843119"/>
      <w:bookmarkStart w:id="153" w:name="_Toc101771366"/>
      <w:bookmarkStart w:id="154" w:name="_Toc134956128"/>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shd w:val="clear" w:color="auto" w:fill="E6E6E6"/>
          <w:tblCellMar>
            <w:top w:w="0" w:type="dxa"/>
            <w:left w:w="108" w:type="dxa"/>
            <w:bottom w:w="0" w:type="dxa"/>
            <w:right w:w="108" w:type="dxa"/>
          </w:tblCellMar>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01843121"/>
      <w:bookmarkStart w:id="158" w:name="_Toc101771368"/>
      <w:bookmarkStart w:id="159" w:name="_Toc134956130"/>
      <w:bookmarkStart w:id="160" w:name="_Toc101775121"/>
      <w:bookmarkStart w:id="161" w:name="_Toc101951254"/>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101951256"/>
      <w:bookmarkStart w:id="164" w:name="_Toc50276150"/>
      <w:bookmarkStart w:id="165" w:name="_Toc42394509"/>
      <w:bookmarkStart w:id="166" w:name="_Toc101771370"/>
      <w:bookmarkStart w:id="167" w:name="_Toc98579062"/>
      <w:bookmarkStart w:id="168" w:name="_Toc134956132"/>
      <w:bookmarkStart w:id="169" w:name="_Toc98579603"/>
      <w:bookmarkStart w:id="170" w:name="_Toc42313164"/>
      <w:bookmarkStart w:id="171" w:name="_Toc41884698"/>
      <w:bookmarkStart w:id="172" w:name="_Toc101843123"/>
      <w:bookmarkStart w:id="173" w:name="_Toc98580286"/>
      <w:bookmarkStart w:id="174" w:name="_Toc98579004"/>
      <w:bookmarkStart w:id="175" w:name="_Toc42394666"/>
      <w:bookmarkStart w:id="176" w:name="_Toc101775123"/>
      <w:bookmarkStart w:id="177" w:name="_Toc41723928"/>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42394517"/>
      <w:bookmarkStart w:id="180" w:name="_Toc98579011"/>
      <w:bookmarkStart w:id="181" w:name="_Toc46308687"/>
      <w:bookmarkStart w:id="182" w:name="_Toc175644394"/>
      <w:bookmarkStart w:id="183" w:name="_Toc101843125"/>
      <w:bookmarkStart w:id="184" w:name="_Toc98035089"/>
      <w:bookmarkStart w:id="185" w:name="_Toc42313172"/>
      <w:bookmarkStart w:id="186" w:name="_Toc98579610"/>
      <w:bookmarkStart w:id="187" w:name="_Toc41884706"/>
      <w:bookmarkStart w:id="188" w:name="_Toc41723936"/>
      <w:bookmarkStart w:id="189" w:name="_Toc101775125"/>
      <w:bookmarkStart w:id="190" w:name="_Toc50276165"/>
      <w:bookmarkStart w:id="191" w:name="_Toc42394673"/>
      <w:bookmarkStart w:id="192" w:name="_Toc101771372"/>
      <w:bookmarkStart w:id="193" w:name="_Toc272497418"/>
      <w:bookmarkStart w:id="194" w:name="_Toc46308531"/>
      <w:bookmarkStart w:id="195" w:name="_Toc98579069"/>
      <w:bookmarkStart w:id="196" w:name="_Toc101951263"/>
      <w:bookmarkStart w:id="197" w:name="_Toc98580293"/>
      <w:bookmarkStart w:id="198" w:name="_Toc50276204"/>
      <w:bookmarkStart w:id="199" w:name="_Toc273520768"/>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273520769"/>
      <w:bookmarkStart w:id="201" w:name="_Toc42394518"/>
      <w:bookmarkStart w:id="202" w:name="_Toc175644395"/>
      <w:bookmarkStart w:id="203" w:name="_Toc46308682"/>
      <w:bookmarkStart w:id="204" w:name="_Toc50276151"/>
      <w:bookmarkStart w:id="205" w:name="_Toc101775126"/>
      <w:bookmarkStart w:id="206" w:name="_Toc101951264"/>
      <w:bookmarkStart w:id="207" w:name="_Toc42394674"/>
      <w:bookmarkStart w:id="208" w:name="_Toc101771373"/>
      <w:bookmarkStart w:id="209" w:name="_Toc98035090"/>
      <w:bookmarkStart w:id="210" w:name="_Toc98579604"/>
      <w:bookmarkStart w:id="211" w:name="_Toc98579063"/>
      <w:bookmarkStart w:id="212" w:name="_Toc98579005"/>
      <w:bookmarkStart w:id="213" w:name="_Toc101843126"/>
      <w:bookmarkStart w:id="214" w:name="_Toc98580294"/>
      <w:bookmarkStart w:id="215" w:name="_Toc42313166"/>
      <w:bookmarkStart w:id="216" w:name="_Toc98579012"/>
      <w:bookmarkStart w:id="217" w:name="_Toc46308532"/>
      <w:bookmarkStart w:id="218" w:name="_Toc272497419"/>
      <w:bookmarkStart w:id="219" w:name="_Toc42313173"/>
      <w:bookmarkStart w:id="220" w:name="_Toc46308526"/>
      <w:bookmarkStart w:id="221" w:name="_Toc50276166"/>
      <w:bookmarkStart w:id="222" w:name="_Toc42394667"/>
      <w:bookmarkStart w:id="223" w:name="_Toc41723937"/>
      <w:bookmarkStart w:id="224" w:name="_Toc98579611"/>
      <w:bookmarkStart w:id="225" w:name="_Toc50276194"/>
      <w:bookmarkStart w:id="226" w:name="_Toc42394511"/>
      <w:bookmarkStart w:id="227" w:name="_Toc98580287"/>
      <w:bookmarkStart w:id="228" w:name="_Toc98579070"/>
      <w:bookmarkStart w:id="229" w:name="_Toc41884700"/>
      <w:bookmarkStart w:id="230" w:name="_Toc41884707"/>
      <w:bookmarkStart w:id="231" w:name="_Toc41723930"/>
      <w:bookmarkStart w:id="232" w:name="_Toc50276205"/>
      <w:bookmarkStart w:id="233" w:name="_Toc46308688"/>
      <w:bookmarkStart w:id="234" w:name="_Toc98035087"/>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w:t>
            </w:r>
            <w:r>
              <w:rPr>
                <w:rFonts w:hint="eastAsia" w:cs="宋体"/>
                <w:color w:val="auto"/>
                <w:szCs w:val="21"/>
                <w:lang w:eastAsia="zh-CN"/>
              </w:rPr>
              <w:t>，</w:t>
            </w:r>
            <w:r>
              <w:rPr>
                <w:rFonts w:hint="eastAsia" w:cs="宋体"/>
                <w:color w:val="auto"/>
                <w:szCs w:val="21"/>
                <w:lang w:val="en-US" w:eastAsia="zh-CN"/>
              </w:rPr>
              <w:t>内容、格式自拟，下同，</w:t>
            </w:r>
            <w:r>
              <w:rPr>
                <w:rFonts w:hint="eastAsia" w:ascii="宋体" w:hAnsi="宋体" w:eastAsia="宋体" w:cs="宋体"/>
                <w:color w:val="auto"/>
                <w:szCs w:val="21"/>
              </w:rPr>
              <w:t>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60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10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60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10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rPr>
                <w:rFonts w:ascii="宋体" w:hAnsi="宋体" w:cs="宋体"/>
                <w:color w:val="auto"/>
                <w:szCs w:val="21"/>
              </w:rPr>
            </w:pPr>
            <w:r>
              <w:rPr>
                <w:rFonts w:ascii="宋体" w:hAnsi="宋体" w:cs="宋体"/>
                <w:color w:val="auto"/>
                <w:szCs w:val="21"/>
              </w:rPr>
              <w:t>每份有效业绩得</w:t>
            </w:r>
            <w:r>
              <w:rPr>
                <w:rFonts w:hint="default" w:cs="宋体"/>
                <w:color w:val="auto"/>
                <w:szCs w:val="21"/>
                <w:lang w:eastAsia="zh-CN"/>
              </w:rPr>
              <w:t>1</w:t>
            </w:r>
            <w:r>
              <w:rPr>
                <w:rFonts w:ascii="宋体" w:hAnsi="宋体" w:cs="宋体"/>
                <w:color w:val="auto"/>
                <w:szCs w:val="21"/>
              </w:rPr>
              <w:t>分，最高不超过</w:t>
            </w:r>
            <w:r>
              <w:rPr>
                <w:rFonts w:hint="eastAsia" w:cs="宋体"/>
                <w:color w:val="auto"/>
                <w:szCs w:val="21"/>
                <w:lang w:val="en-US" w:eastAsia="zh-CN"/>
              </w:rPr>
              <w:t>3</w:t>
            </w:r>
            <w:r>
              <w:rPr>
                <w:rFonts w:ascii="宋体" w:hAnsi="宋体" w:cs="宋体"/>
                <w:color w:val="auto"/>
                <w:szCs w:val="21"/>
              </w:rPr>
              <w:t>分；</w:t>
            </w:r>
          </w:p>
          <w:p>
            <w:pPr>
              <w:widowControl w:val="0"/>
              <w:snapToGrid w:val="0"/>
              <w:rPr>
                <w:rFonts w:hint="eastAsia" w:ascii="宋体" w:hAnsi="宋体" w:eastAsia="宋体" w:cs="宋体"/>
                <w:color w:val="auto"/>
                <w:szCs w:val="21"/>
                <w:lang w:eastAsia="zh-CN"/>
              </w:rPr>
            </w:pPr>
            <w:r>
              <w:rPr>
                <w:rFonts w:ascii="宋体" w:hAnsi="宋体" w:cs="宋体"/>
                <w:b/>
                <w:bCs/>
                <w:color w:val="auto"/>
                <w:szCs w:val="21"/>
              </w:rPr>
              <w:t>（有效业绩须同时满足以下条件：</w:t>
            </w:r>
            <w:r>
              <w:rPr>
                <w:rFonts w:hint="eastAsia" w:cs="宋体"/>
                <w:b/>
                <w:bCs/>
                <w:color w:val="auto"/>
                <w:szCs w:val="21"/>
                <w:lang w:val="en-US" w:eastAsia="zh-Hans"/>
              </w:rPr>
              <w:t>由</w:t>
            </w:r>
            <w:r>
              <w:rPr>
                <w:rFonts w:ascii="宋体" w:hAnsi="宋体" w:cs="宋体"/>
                <w:b/>
                <w:bCs/>
                <w:color w:val="auto"/>
                <w:szCs w:val="21"/>
              </w:rPr>
              <w:t>投标供应商签订的</w:t>
            </w:r>
            <w:r>
              <w:rPr>
                <w:rFonts w:hint="eastAsia" w:cs="宋体"/>
                <w:b/>
                <w:bCs/>
                <w:color w:val="auto"/>
                <w:szCs w:val="21"/>
                <w:lang w:val="en-US" w:eastAsia="zh-Hans"/>
              </w:rPr>
              <w:t>与本项目投标产品相</w:t>
            </w:r>
            <w:r>
              <w:rPr>
                <w:rFonts w:hint="eastAsia" w:ascii="宋体" w:hAnsi="宋体" w:cs="宋体"/>
                <w:b/>
                <w:bCs/>
                <w:color w:val="auto"/>
                <w:szCs w:val="21"/>
                <w:lang w:val="en-US" w:eastAsia="zh-Hans"/>
              </w:rPr>
              <w:t>同品牌的</w:t>
            </w:r>
            <w:r>
              <w:rPr>
                <w:rFonts w:ascii="宋体" w:hAnsi="宋体" w:cs="宋体"/>
                <w:b/>
                <w:bCs/>
                <w:color w:val="auto"/>
                <w:szCs w:val="21"/>
              </w:rPr>
              <w:t>可吸收骨固定系统</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cs="宋体"/>
                <w:b/>
                <w:bCs/>
                <w:color w:val="auto"/>
                <w:szCs w:val="21"/>
                <w:lang w:val="en-US" w:eastAsia="zh-CN"/>
              </w:rPr>
              <w:t>或发票日期须为</w:t>
            </w:r>
            <w:r>
              <w:rPr>
                <w:rFonts w:ascii="宋体" w:hAnsi="宋体" w:cs="宋体"/>
                <w:b/>
                <w:bCs/>
                <w:color w:val="auto"/>
                <w:szCs w:val="21"/>
              </w:rPr>
              <w:t>2019年1月1日</w:t>
            </w:r>
            <w:r>
              <w:rPr>
                <w:rFonts w:hint="eastAsia"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试剂产品的退换货方案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10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60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eastAsia" w:cs="宋体"/>
                <w:color w:val="auto"/>
                <w:szCs w:val="21"/>
                <w:lang w:val="en-US" w:eastAsia="zh-CN"/>
              </w:rPr>
              <w:t>20</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w:t>
            </w:r>
            <w:r>
              <w:rPr>
                <w:rFonts w:hint="eastAsia" w:cs="宋体"/>
                <w:color w:val="auto"/>
                <w:szCs w:val="21"/>
                <w:lang w:val="en-US" w:eastAsia="zh-CN"/>
              </w:rPr>
              <w:t>宣传</w:t>
            </w:r>
            <w:r>
              <w:rPr>
                <w:rFonts w:hint="eastAsia" w:ascii="宋体" w:hAnsi="宋体" w:eastAsia="宋体" w:cs="宋体"/>
                <w:color w:val="auto"/>
                <w:szCs w:val="21"/>
              </w:rPr>
              <w:t>页</w:t>
            </w:r>
            <w:r>
              <w:rPr>
                <w:rFonts w:hint="eastAsia" w:cs="宋体"/>
                <w:color w:val="auto"/>
                <w:szCs w:val="21"/>
                <w:lang w:eastAsia="zh-CN"/>
              </w:rPr>
              <w:t>（</w:t>
            </w:r>
            <w:r>
              <w:rPr>
                <w:rFonts w:hint="eastAsia" w:cs="宋体"/>
                <w:color w:val="auto"/>
                <w:szCs w:val="21"/>
                <w:lang w:val="en-US" w:eastAsia="zh-CN"/>
              </w:rPr>
              <w:t>若有）</w:t>
            </w:r>
            <w:r>
              <w:rPr>
                <w:rFonts w:hint="eastAsia" w:ascii="宋体" w:hAnsi="宋体" w:eastAsia="宋体" w:cs="宋体"/>
                <w:color w:val="auto"/>
                <w:szCs w:val="21"/>
              </w:rPr>
              <w:t>及相应技术参数的厂家使用说明书作为技术证明文件，否则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中第四到第七</w:t>
            </w:r>
            <w:r>
              <w:rPr>
                <w:rFonts w:hint="eastAsia" w:ascii="宋体" w:hAnsi="宋体" w:eastAsia="宋体" w:cs="宋体"/>
                <w:color w:val="auto"/>
                <w:szCs w:val="21"/>
                <w:lang w:val="en-US" w:eastAsia="zh-CN"/>
              </w:rPr>
              <w:t>点要求的非星号条款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每有一项带“▲”条款负偏离或不响应，扣</w:t>
            </w:r>
            <w:r>
              <w:rPr>
                <w:rFonts w:hint="eastAsia" w:cs="宋体"/>
                <w:color w:val="auto"/>
                <w:szCs w:val="21"/>
                <w:lang w:val="en-US" w:eastAsia="zh-CN"/>
              </w:rPr>
              <w:t>4</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每有一项非“▲”条款负偏离或不响应，扣</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eastAsia" w:cs="宋体"/>
                <w:color w:val="auto"/>
                <w:szCs w:val="21"/>
                <w:lang w:val="en-US" w:eastAsia="zh-CN"/>
              </w:rPr>
              <w:t>24</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atLeast"/>
          <w:jc w:val="center"/>
        </w:trPr>
        <w:tc>
          <w:tcPr>
            <w:tcW w:w="754" w:type="dxa"/>
            <w:noWrap w:val="0"/>
            <w:vAlign w:val="center"/>
          </w:tcPr>
          <w:p>
            <w:pPr>
              <w:jc w:val="center"/>
              <w:rPr>
                <w:rFonts w:hint="eastAsia" w:ascii="宋体" w:hAnsi="宋体" w:eastAsia="宋体" w:cs="宋体"/>
                <w:color w:val="auto"/>
                <w:szCs w:val="21"/>
              </w:rPr>
            </w:pPr>
            <w:r>
              <w:rPr>
                <w:rFonts w:hint="default" w:cs="宋体"/>
                <w:color w:val="auto"/>
                <w:szCs w:val="21"/>
              </w:rPr>
              <w:t>3</w:t>
            </w:r>
          </w:p>
        </w:tc>
        <w:tc>
          <w:tcPr>
            <w:tcW w:w="2647" w:type="dxa"/>
            <w:noWrap w:val="0"/>
            <w:vAlign w:val="center"/>
          </w:tcPr>
          <w:p>
            <w:pPr>
              <w:jc w:val="center"/>
              <w:rPr>
                <w:rFonts w:hint="eastAsia" w:ascii="宋体" w:hAnsi="宋体" w:eastAsia="宋体" w:cs="宋体"/>
                <w:color w:val="auto"/>
                <w:szCs w:val="21"/>
              </w:rPr>
            </w:pPr>
            <w:r>
              <w:rPr>
                <w:rFonts w:ascii="宋体" w:hAnsi="宋体" w:cs="宋体"/>
                <w:color w:val="auto"/>
                <w:szCs w:val="21"/>
              </w:rPr>
              <w:t>投标产品授权</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10</w:t>
            </w:r>
            <w:r>
              <w:rPr>
                <w:rFonts w:hint="eastAsia" w:cs="宋体"/>
                <w:color w:val="auto"/>
                <w:szCs w:val="21"/>
                <w:lang w:val="en-US" w:eastAsia="zh-Hans"/>
              </w:rPr>
              <w:t>分</w:t>
            </w:r>
          </w:p>
        </w:tc>
        <w:tc>
          <w:tcPr>
            <w:tcW w:w="6092" w:type="dxa"/>
            <w:noWrap w:val="0"/>
            <w:vAlign w:val="center"/>
          </w:tcPr>
          <w:p>
            <w:pPr>
              <w:snapToGrid w:val="0"/>
              <w:rPr>
                <w:rFonts w:hint="eastAsia" w:ascii="宋体" w:hAnsi="宋体" w:eastAsia="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rPr>
            </w:pPr>
            <w:r>
              <w:rPr>
                <w:rFonts w:hint="default" w:cs="宋体"/>
                <w:color w:val="auto"/>
                <w:szCs w:val="21"/>
              </w:rPr>
              <w:t>4</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60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6"/>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6"/>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184350415"/>
      <w:bookmarkStart w:id="237" w:name="_Toc222999730"/>
      <w:bookmarkStart w:id="238" w:name="_Toc288816844"/>
      <w:bookmarkStart w:id="239" w:name="_Toc170638928"/>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left"/>
              <w:rPr>
                <w:rFonts w:hint="eastAsia" w:ascii="宋体" w:hAnsi="宋体" w:eastAsia="宋体" w:cs="宋体"/>
                <w:color w:val="auto"/>
                <w:sz w:val="21"/>
                <w:szCs w:val="21"/>
                <w:lang w:val="en-US" w:eastAsia="zh-CN" w:bidi="ar-SA"/>
              </w:rPr>
            </w:pPr>
            <w:r>
              <w:rPr>
                <w:rFonts w:hint="eastAsia" w:ascii="宋体" w:hAnsi="宋体"/>
                <w:color w:val="auto"/>
                <w:szCs w:val="21"/>
                <w:lang w:val="en-US" w:eastAsia="zh-CN"/>
              </w:rPr>
              <w:t>4.4</w:t>
            </w:r>
            <w:r>
              <w:rPr>
                <w:rFonts w:ascii="宋体" w:hAnsi="宋体"/>
                <w:color w:val="auto"/>
                <w:szCs w:val="21"/>
              </w:rPr>
              <w:t>同类产品</w:t>
            </w:r>
            <w:r>
              <w:rPr>
                <w:rFonts w:ascii="宋体" w:hAnsi="宋体"/>
                <w:bCs/>
                <w:color w:val="auto"/>
                <w:szCs w:val="21"/>
              </w:rPr>
              <w:t>业绩</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4.5</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cs="宋体"/>
                <w:color w:val="auto"/>
                <w:szCs w:val="21"/>
              </w:rPr>
              <w:t>6</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default" w:cs="宋体"/>
                <w:color w:val="auto"/>
                <w:szCs w:val="21"/>
                <w:lang w:eastAsia="zh-CN"/>
              </w:rPr>
              <w:t>7</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222999731"/>
      <w:bookmarkStart w:id="241" w:name="_Toc184350416"/>
      <w:bookmarkStart w:id="242" w:name="_Toc170638932"/>
      <w:bookmarkStart w:id="243" w:name="_Toc288816845"/>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1"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2"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提供《资格文件声明函》）</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highlight w:val="none"/>
              </w:rPr>
              <w:t>非联合体</w:t>
            </w:r>
            <w:r>
              <w:rPr>
                <w:rFonts w:hint="eastAsia" w:ascii="宋体" w:hAnsi="宋体" w:eastAsia="宋体" w:cs="宋体"/>
                <w:color w:val="auto"/>
                <w:szCs w:val="21"/>
                <w:highlight w:val="none"/>
                <w:lang w:eastAsia="zh-CN"/>
              </w:rPr>
              <w:t>响应</w:t>
            </w:r>
            <w:r>
              <w:rPr>
                <w:rFonts w:hint="eastAsia" w:cs="宋体"/>
                <w:color w:val="auto"/>
                <w:szCs w:val="21"/>
                <w:highlight w:val="none"/>
                <w:lang w:val="en-US" w:eastAsia="zh-CN"/>
              </w:rPr>
              <w:t>声明</w:t>
            </w:r>
            <w:r>
              <w:rPr>
                <w:rFonts w:ascii="宋体" w:hAnsi="宋体" w:eastAsia="宋体" w:cs="宋体"/>
                <w:color w:val="auto"/>
                <w:szCs w:val="21"/>
                <w:highlight w:val="none"/>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pStyle w:val="2"/>
        <w:rPr>
          <w:rFonts w:hint="eastAsia"/>
          <w:lang w:val="en-US" w:eastAsia="zh-CN"/>
        </w:rPr>
      </w:pP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84"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434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6040"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cs="宋体"/>
                <w:szCs w:val="21"/>
                <w:lang w:val="en-US" w:eastAsia="zh-CN"/>
              </w:rPr>
              <w:t>10分</w:t>
            </w: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tbl>
      <w:tblPr>
        <w:tblStyle w:val="45"/>
        <w:tblW w:w="9871"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4572"/>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20</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24</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s="宋体"/>
                <w:color w:val="auto"/>
                <w:szCs w:val="21"/>
              </w:rPr>
              <w:t>投标产品授权</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10</w:t>
            </w:r>
            <w:r>
              <w:rPr>
                <w:rFonts w:hint="eastAsia" w:cs="宋体"/>
                <w:color w:val="auto"/>
                <w:szCs w:val="21"/>
                <w:lang w:val="en-US" w:eastAsia="zh-Hans"/>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Tahoma"/>
                <w:kern w:val="0"/>
                <w:sz w:val="24"/>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cs="Tahoma"/>
                <w:kern w:val="0"/>
                <w:sz w:val="24"/>
              </w:rPr>
            </w:pPr>
            <w:r>
              <w:rPr>
                <w:rFonts w:hint="default" w:cs="宋体"/>
                <w:color w:val="auto"/>
                <w:szCs w:val="21"/>
              </w:rPr>
              <w:t>6</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613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cs="宋体"/>
                <w:szCs w:val="21"/>
                <w:lang w:val="en-US" w:eastAsia="zh-CN"/>
              </w:rPr>
              <w:t>60</w:t>
            </w: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2336;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DLq+x2AAAAAoBAAAPAAAAAAAAAAEAIAAA&#10;ACIAAABkcnMvZG93bnJldi54bWxQSwECFAAUAAAACACHTuJArhANywwCAAAGBAAADgAAAAAAAAAB&#10;ACAAAAAnAQAAZHJzL2Uyb0RvYy54bWxQSwUGAAAAAAYABgBZAQAApQU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3360"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3360;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HgyvV9gAAAAKAQAADwAAAAAAAAABACAA&#10;AAAiAAAAZHJzL2Rvd25yZXYueG1sUEsBAhQAFAAAAAgAh07iQAMygysNAgAABgQAAA4AAAAAAAAA&#10;AQAgAAAAJwEAAGRycy9lMm9Eb2MueG1sUEsFBgAAAAAGAAYAWQEAAKY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222999736"/>
      <w:bookmarkStart w:id="245" w:name="_Toc288816850"/>
      <w:bookmarkStart w:id="246" w:name="_Toc184350421"/>
      <w:bookmarkStart w:id="247" w:name="_Toc170638931"/>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提供近</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年经中介机构审核过的财务报告（损益表、资产负债表）的复印件（加盖公章）。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注：业绩是必须以投标人名义完成并已验收的项目。投标人必须提供合同复印件（请留意评审细则是否要求提供验收报告）。</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eastAsia" w:hAnsi="宋体"/>
          <w:b/>
          <w:bCs/>
          <w:color w:val="auto"/>
          <w:sz w:val="24"/>
          <w:szCs w:val="24"/>
        </w:rPr>
      </w:pPr>
      <w:bookmarkStart w:id="248" w:name="_Toc222999739"/>
      <w:bookmarkStart w:id="249" w:name="_Toc184350424"/>
      <w:bookmarkStart w:id="250" w:name="_Toc288816852"/>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lang w:val="en-US" w:eastAsia="zh-CN"/>
        </w:rPr>
        <w:t>重要条款与</w:t>
      </w:r>
      <w:r>
        <w:rPr>
          <w:rFonts w:hint="eastAsia" w:hAnsi="宋体"/>
          <w:b/>
          <w:bCs/>
          <w:color w:val="auto"/>
          <w:sz w:val="24"/>
          <w:szCs w:val="24"/>
        </w:rPr>
        <w:t>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4"/>
        <w:numPr>
          <w:ilvl w:val="0"/>
          <w:numId w:val="0"/>
        </w:numPr>
        <w:jc w:val="left"/>
        <w:rPr>
          <w:rFonts w:hint="eastAsia" w:ascii="黑体" w:hAnsi="黑体" w:eastAsia="黑体" w:cs="黑体"/>
          <w:b/>
          <w:color w:val="auto"/>
          <w:sz w:val="28"/>
          <w:szCs w:val="28"/>
          <w:lang w:val="en-US" w:eastAsia="zh-CN" w:bidi="ar-SA"/>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4.3同类产品业绩</w:t>
      </w:r>
    </w:p>
    <w:p>
      <w:pPr>
        <w:adjustRightInd w:val="0"/>
        <w:snapToGrid w:val="0"/>
        <w:spacing w:line="360" w:lineRule="auto"/>
        <w:jc w:val="center"/>
        <w:rPr>
          <w:rFonts w:hint="eastAsia" w:ascii="宋体" w:hAnsi="宋体"/>
          <w:b/>
          <w:bCs/>
          <w:color w:val="auto"/>
          <w:sz w:val="24"/>
        </w:rPr>
      </w:pPr>
      <w:r>
        <w:rPr>
          <w:rFonts w:hint="eastAsia" w:ascii="宋体" w:hAnsi="宋体"/>
          <w:b/>
          <w:bCs/>
          <w:color w:val="auto"/>
          <w:sz w:val="24"/>
        </w:rPr>
        <w:t>同类项目业绩一览表</w:t>
      </w:r>
    </w:p>
    <w:tbl>
      <w:tblPr>
        <w:tblStyle w:val="45"/>
        <w:tblW w:w="96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381"/>
        <w:gridCol w:w="1381"/>
        <w:gridCol w:w="1233"/>
        <w:gridCol w:w="1531"/>
        <w:gridCol w:w="1290"/>
        <w:gridCol w:w="14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序号</w:t>
            </w:r>
          </w:p>
        </w:tc>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采购人名称</w:t>
            </w:r>
          </w:p>
        </w:tc>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项目内容</w:t>
            </w:r>
          </w:p>
        </w:tc>
        <w:tc>
          <w:tcPr>
            <w:tcW w:w="1233"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合同总价</w:t>
            </w:r>
          </w:p>
        </w:tc>
        <w:tc>
          <w:tcPr>
            <w:tcW w:w="153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签约日期及完成时间</w:t>
            </w:r>
          </w:p>
        </w:tc>
        <w:tc>
          <w:tcPr>
            <w:tcW w:w="1290"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单位联系人及电话</w:t>
            </w:r>
          </w:p>
        </w:tc>
        <w:tc>
          <w:tcPr>
            <w:tcW w:w="1479"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证明文件页码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ascii="宋体" w:hAnsi="宋体"/>
                <w:color w:val="auto"/>
                <w:szCs w:val="21"/>
                <w:u w:val="single"/>
              </w:rPr>
            </w:pPr>
            <w:r>
              <w:rPr>
                <w:rFonts w:hint="eastAsia" w:ascii="宋体" w:hAnsi="宋体"/>
                <w:color w:val="auto"/>
                <w:szCs w:val="21"/>
              </w:rPr>
              <w:t>见</w:t>
            </w:r>
            <w:r>
              <w:rPr>
                <w:rFonts w:hint="eastAsia" w:ascii="宋体" w:hAnsi="宋体"/>
                <w:color w:val="auto"/>
                <w:szCs w:val="21"/>
                <w:u w:val="single"/>
              </w:rPr>
              <w:t xml:space="preserve">     </w:t>
            </w:r>
            <w:r>
              <w:rPr>
                <w:rFonts w:hint="eastAsia" w:ascii="宋体" w:hAnsi="宋体"/>
                <w:color w:val="auto"/>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bl>
    <w:p>
      <w:pPr>
        <w:adjustRightInd w:val="0"/>
        <w:snapToGrid w:val="0"/>
        <w:spacing w:line="360" w:lineRule="auto"/>
        <w:rPr>
          <w:rFonts w:hint="eastAsia" w:ascii="宋体" w:hAnsi="宋体" w:cs="宋体"/>
          <w:color w:val="auto"/>
        </w:rPr>
      </w:pPr>
      <w:r>
        <w:rPr>
          <w:rFonts w:hint="eastAsia" w:ascii="宋体" w:hAnsi="宋体"/>
          <w:color w:val="auto"/>
          <w:sz w:val="24"/>
        </w:rPr>
        <w:t>备注：供应商</w:t>
      </w:r>
      <w:r>
        <w:rPr>
          <w:rFonts w:hint="eastAsia" w:ascii="宋体" w:hAnsi="宋体" w:cs="宋体"/>
          <w:color w:val="auto"/>
          <w:sz w:val="24"/>
        </w:rPr>
        <w:t>可自行设计表格，</w:t>
      </w:r>
      <w:r>
        <w:rPr>
          <w:rFonts w:hint="eastAsia" w:ascii="宋体" w:hAnsi="宋体"/>
          <w:color w:val="auto"/>
          <w:sz w:val="24"/>
        </w:rPr>
        <w:t>按照评分细则中的要求提供证明文件。</w:t>
      </w:r>
      <w:bookmarkEnd w:id="248"/>
      <w:bookmarkEnd w:id="249"/>
      <w:bookmarkEnd w:id="250"/>
    </w:p>
    <w:p>
      <w:pPr>
        <w:pStyle w:val="6"/>
        <w:numPr>
          <w:ilvl w:val="0"/>
          <w:numId w:val="0"/>
        </w:numPr>
        <w:jc w:val="left"/>
        <w:rPr>
          <w:rFonts w:hint="eastAsia" w:ascii="黑体" w:hAnsi="黑体" w:eastAsia="黑体" w:cs="黑体"/>
          <w:b/>
          <w:color w:val="auto"/>
          <w:sz w:val="28"/>
          <w:szCs w:val="28"/>
          <w:lang w:val="en-US" w:eastAsia="zh-CN"/>
        </w:rPr>
      </w:pPr>
      <w:bookmarkStart w:id="251" w:name="_Toc222999740"/>
      <w:bookmarkStart w:id="252" w:name="_Toc184350425"/>
      <w:bookmarkStart w:id="253" w:name="_Toc288816853"/>
    </w:p>
    <w:p>
      <w:pPr>
        <w:pStyle w:val="6"/>
        <w:numPr>
          <w:ilvl w:val="0"/>
          <w:numId w:val="0"/>
        </w:numPr>
        <w:jc w:val="left"/>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4.4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198976406"/>
      <w:bookmarkStart w:id="255" w:name="_Toc269301026"/>
      <w:bookmarkStart w:id="256" w:name="_Toc195675482"/>
      <w:bookmarkStart w:id="257" w:name="_Toc261269415"/>
      <w:bookmarkStart w:id="258" w:name="_Toc172615841"/>
      <w:bookmarkStart w:id="259" w:name="_Toc198977321"/>
      <w:r>
        <w:rPr>
          <w:rFonts w:hint="eastAsia" w:ascii="宋体" w:hAnsi="宋体"/>
          <w:b/>
          <w:color w:val="auto"/>
          <w:sz w:val="28"/>
          <w:szCs w:val="28"/>
        </w:rPr>
        <w:t>（2）</w:t>
      </w:r>
      <w:r>
        <w:rPr>
          <w:rFonts w:hint="eastAsia"/>
          <w:b/>
          <w:color w:val="auto"/>
          <w:sz w:val="28"/>
          <w:szCs w:val="28"/>
          <w:lang w:val="en-US" w:eastAsia="zh-CN"/>
        </w:rPr>
        <w:t>重要条款与</w:t>
      </w:r>
      <w:r>
        <w:rPr>
          <w:rFonts w:hint="eastAsia" w:ascii="宋体" w:hAnsi="宋体"/>
          <w:b/>
          <w:color w:val="auto"/>
          <w:sz w:val="28"/>
          <w:szCs w:val="28"/>
        </w:rPr>
        <w:t>一般技术条款响应表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hint="eastAsia"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r>
              <w:rPr>
                <w:rFonts w:hint="eastAsia" w:eastAsia="宋体" w:cs="Times New Roman"/>
                <w:color w:val="auto"/>
                <w:sz w:val="21"/>
                <w:szCs w:val="21"/>
                <w:lang w:eastAsia="zh-CN"/>
              </w:rPr>
              <w:t>一次性使用硬膜外麻醉导管</w:t>
            </w: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iPJ6V2gAAAAkBAAAPAAAAAAAAAAEAIAAAACIAAABkcnMvZG93bnJldi54&#10;bWxQSwECFAAUAAAACACHTuJAapZOPjECAAAzBAAADgAAAAAAAAABACAAAAApAQAAZHJzL2Uyb0Rv&#10;Yy54bWxQSwUGAAAAAAYABgBZAQAAzAU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left" w:pos="8102"/>
        <w:tab w:val="clear" w:pos="4153"/>
      </w:tabs>
      <w:snapToGrid w:val="0"/>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0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3</w:t>
                          </w:r>
                          <w:r>
                            <w:fldChar w:fldCharType="end"/>
                          </w:r>
                        </w:p>
                      </w:txbxContent>
                    </wps:txbx>
                    <wps:bodyPr vert="horz" wrap="none" lIns="0" tIns="0" rIns="0" bIns="0" anchor="t" upright="0">
                      <a:spAutoFit/>
                    </wps:bodyPr>
                  </wps:wsp>
                </a:graphicData>
              </a:graphic>
            </wp:anchor>
          </w:drawing>
        </mc:Choice>
        <mc:Fallback>
          <w:pict>
            <v:shape id="文本框 207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cep0fwAEAAGUDAAAOAAAAAAAAAAEAIAAAAB4BAABkcnMvZTJvRG9jLnhtbFBLBQYA&#10;AAAABgAGAFkBAABQ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ql5uc8AAAAFAQAADwAAAAAAAAABACAAAAAiAAAAZHJzL2Rvd25yZXYueG1sUEsBAhQAFAAA&#10;AAgAh07iQLpO4Nm/AQAAYwMAAA4AAAAAAAAAAQAgAAAAHgEAAGRycy9lMm9Eb2MueG1sUEsFBgAA&#10;AAAGAAYAWQEAAE8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7456"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7456;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urONjUAAAA&#10;CAEAAA8AAAAAAAAAAQAgAAAAIgAAAGRycy9kb3ducmV2LnhtbFBLAQIUABQAAAAIAIdO4kAvfysk&#10;rwEAAE0DAAAOAAAAAAAAAAEAIAAAACMBAABkcnMvZTJvRG9jLnhtbFBLBQYAAAAABgAGAFkBAABE&#10;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9"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LqzjY1AAA&#10;AAgBAAAPAAAAAAAAAAEAIAAAACIAAABkcnMvZG93bnJldi54bWxQSwECFAAUAAAACACHTuJAwR6l&#10;J7ABAABMAwAADgAAAAAAAAABACAAAAAjAQAAZHJzL2Uyb0RvYy54bWxQSwUGAAAAAAYABgBZAQAA&#10;R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rPr>
        <w:rFonts w:hint="eastAsia"/>
      </w:rPr>
    </w:pPr>
    <w:r>
      <w:rPr>
        <w:sz w:val="18"/>
      </w:rPr>
      <mc:AlternateContent>
        <mc:Choice Requires="wps">
          <w:drawing>
            <wp:anchor distT="0" distB="0" distL="114300" distR="114300" simplePos="0" relativeHeight="251665408"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3"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5408;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LqzjY1AAA&#10;AAgBAAAPAAAAAAAAAAEAIAAAACIAAABkcnMvZG93bnJldi54bWxQSwECFAAUAAAACACHTuJAPDR2&#10;arABAABNAwAADgAAAAAAAAABACAAAAAjAQAAZHJzL2Uyb0RvYy54bWxQSwUGAAAAAAYABgBZAQAA&#10;R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6432"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6432;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urONjUAAAA&#10;CAEAAA8AAAAAAAAAAQAgAAAAIgAAAGRycy9kb3ducmV2LnhtbFBLAQIUABQAAAAIAIdO4kAJ6ZG4&#10;rwEAAE0DAAAOAAAAAAAAAAEAIAAAACMBAABkcnMvZTJvRG9jLnhtbFBLBQYAAAAABgAGAFkBAABE&#10;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6076062"/>
    <w:multiLevelType w:val="multilevel"/>
    <w:tmpl w:val="66076062"/>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WI0NjM2N2RhNjY0YWUzOWIxMzlhZTQ5OTE1ZGM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8E53BB"/>
    <w:rsid w:val="01A30B83"/>
    <w:rsid w:val="01CE2CEB"/>
    <w:rsid w:val="01E67D64"/>
    <w:rsid w:val="01F83118"/>
    <w:rsid w:val="020643AC"/>
    <w:rsid w:val="02285B30"/>
    <w:rsid w:val="027E4FC1"/>
    <w:rsid w:val="02851915"/>
    <w:rsid w:val="02967D97"/>
    <w:rsid w:val="02B9254E"/>
    <w:rsid w:val="02F47EB2"/>
    <w:rsid w:val="030E294F"/>
    <w:rsid w:val="031422ED"/>
    <w:rsid w:val="03836589"/>
    <w:rsid w:val="039B7A41"/>
    <w:rsid w:val="03A674A6"/>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C67613"/>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9E1208"/>
    <w:rsid w:val="0CA52B3F"/>
    <w:rsid w:val="0CA935C1"/>
    <w:rsid w:val="0CB60150"/>
    <w:rsid w:val="0CB74CDA"/>
    <w:rsid w:val="0CBC7DF6"/>
    <w:rsid w:val="0CCD1E8E"/>
    <w:rsid w:val="0CD1621F"/>
    <w:rsid w:val="0CED7B9D"/>
    <w:rsid w:val="0D270808"/>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65607B"/>
    <w:rsid w:val="128D5A53"/>
    <w:rsid w:val="12900868"/>
    <w:rsid w:val="129640D0"/>
    <w:rsid w:val="12C20480"/>
    <w:rsid w:val="12C64B6E"/>
    <w:rsid w:val="12E82BDE"/>
    <w:rsid w:val="139300ED"/>
    <w:rsid w:val="13A10458"/>
    <w:rsid w:val="13A4511F"/>
    <w:rsid w:val="13CE3AA2"/>
    <w:rsid w:val="13CF471A"/>
    <w:rsid w:val="13CF798A"/>
    <w:rsid w:val="13E04C36"/>
    <w:rsid w:val="13F2695B"/>
    <w:rsid w:val="145A78CB"/>
    <w:rsid w:val="149C4372"/>
    <w:rsid w:val="149F48FC"/>
    <w:rsid w:val="14E93C90"/>
    <w:rsid w:val="14F521EE"/>
    <w:rsid w:val="14F96328"/>
    <w:rsid w:val="15004FD1"/>
    <w:rsid w:val="150216CA"/>
    <w:rsid w:val="15272F5B"/>
    <w:rsid w:val="157911B7"/>
    <w:rsid w:val="15876FAB"/>
    <w:rsid w:val="15A16E9F"/>
    <w:rsid w:val="15BC767B"/>
    <w:rsid w:val="15C814D9"/>
    <w:rsid w:val="15DA037C"/>
    <w:rsid w:val="15E636BF"/>
    <w:rsid w:val="15F03103"/>
    <w:rsid w:val="16080BCA"/>
    <w:rsid w:val="16124A4D"/>
    <w:rsid w:val="16656400"/>
    <w:rsid w:val="16777D74"/>
    <w:rsid w:val="168314AA"/>
    <w:rsid w:val="168F67CD"/>
    <w:rsid w:val="16AE078E"/>
    <w:rsid w:val="16BA3209"/>
    <w:rsid w:val="16DF1903"/>
    <w:rsid w:val="176C76CD"/>
    <w:rsid w:val="177A6B69"/>
    <w:rsid w:val="177D78FB"/>
    <w:rsid w:val="17955C4E"/>
    <w:rsid w:val="179F2119"/>
    <w:rsid w:val="17A3381F"/>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52DFA"/>
    <w:rsid w:val="1ABC066A"/>
    <w:rsid w:val="1B325389"/>
    <w:rsid w:val="1B555BE4"/>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60736"/>
    <w:rsid w:val="1E05210A"/>
    <w:rsid w:val="1E3C7A71"/>
    <w:rsid w:val="1E516FF1"/>
    <w:rsid w:val="1E5D2BB1"/>
    <w:rsid w:val="1E867E85"/>
    <w:rsid w:val="1EA74224"/>
    <w:rsid w:val="1EC762D3"/>
    <w:rsid w:val="1EF141C7"/>
    <w:rsid w:val="1F0A4C39"/>
    <w:rsid w:val="1F252606"/>
    <w:rsid w:val="1F3847D1"/>
    <w:rsid w:val="1F3E0F22"/>
    <w:rsid w:val="1F5467B2"/>
    <w:rsid w:val="1FB865DB"/>
    <w:rsid w:val="1FCF205B"/>
    <w:rsid w:val="1FF54EAF"/>
    <w:rsid w:val="200A61E6"/>
    <w:rsid w:val="20190340"/>
    <w:rsid w:val="20313AF4"/>
    <w:rsid w:val="20667C81"/>
    <w:rsid w:val="20733D4B"/>
    <w:rsid w:val="20934399"/>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B1C7AFB"/>
    <w:rsid w:val="2B4D1F64"/>
    <w:rsid w:val="2B62129A"/>
    <w:rsid w:val="2B7C0C88"/>
    <w:rsid w:val="2BB73659"/>
    <w:rsid w:val="2BC50AD2"/>
    <w:rsid w:val="2BC7010A"/>
    <w:rsid w:val="2BDD5393"/>
    <w:rsid w:val="2BDF49C4"/>
    <w:rsid w:val="2BDF7583"/>
    <w:rsid w:val="2C021E12"/>
    <w:rsid w:val="2C0941F1"/>
    <w:rsid w:val="2C0B1110"/>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44EE5"/>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E196D"/>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302A1D"/>
    <w:rsid w:val="40342E53"/>
    <w:rsid w:val="406C0FA6"/>
    <w:rsid w:val="40A87EA7"/>
    <w:rsid w:val="40B22FB5"/>
    <w:rsid w:val="40C64C5D"/>
    <w:rsid w:val="40D73BE8"/>
    <w:rsid w:val="40E03E87"/>
    <w:rsid w:val="410A373C"/>
    <w:rsid w:val="410D2BBC"/>
    <w:rsid w:val="412C5DAA"/>
    <w:rsid w:val="417D6029"/>
    <w:rsid w:val="41893D9A"/>
    <w:rsid w:val="4194565B"/>
    <w:rsid w:val="41955F48"/>
    <w:rsid w:val="41AD781B"/>
    <w:rsid w:val="41C0241B"/>
    <w:rsid w:val="41C419EA"/>
    <w:rsid w:val="41D07DB8"/>
    <w:rsid w:val="41EC62E1"/>
    <w:rsid w:val="42510D4A"/>
    <w:rsid w:val="42514AB8"/>
    <w:rsid w:val="428173EA"/>
    <w:rsid w:val="42822DF0"/>
    <w:rsid w:val="42A06F64"/>
    <w:rsid w:val="42B3679A"/>
    <w:rsid w:val="42C149C8"/>
    <w:rsid w:val="42C6663B"/>
    <w:rsid w:val="42C76BBF"/>
    <w:rsid w:val="42CA34B9"/>
    <w:rsid w:val="42EB2047"/>
    <w:rsid w:val="42FF24B2"/>
    <w:rsid w:val="431D3602"/>
    <w:rsid w:val="43241A79"/>
    <w:rsid w:val="43284084"/>
    <w:rsid w:val="43D718B1"/>
    <w:rsid w:val="44007B93"/>
    <w:rsid w:val="4441017D"/>
    <w:rsid w:val="44415AE8"/>
    <w:rsid w:val="44460956"/>
    <w:rsid w:val="444D6C8F"/>
    <w:rsid w:val="44A270C7"/>
    <w:rsid w:val="44BF3D43"/>
    <w:rsid w:val="45562683"/>
    <w:rsid w:val="4571540A"/>
    <w:rsid w:val="45844228"/>
    <w:rsid w:val="458806BF"/>
    <w:rsid w:val="461A0DF1"/>
    <w:rsid w:val="461D1AEB"/>
    <w:rsid w:val="465D5BE5"/>
    <w:rsid w:val="4669263D"/>
    <w:rsid w:val="46907094"/>
    <w:rsid w:val="46C17A4D"/>
    <w:rsid w:val="46C737C5"/>
    <w:rsid w:val="46F52372"/>
    <w:rsid w:val="471C6990"/>
    <w:rsid w:val="472431CC"/>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6E21B7"/>
    <w:rsid w:val="49A97FC8"/>
    <w:rsid w:val="49C475FB"/>
    <w:rsid w:val="4A0C036C"/>
    <w:rsid w:val="4A240B8E"/>
    <w:rsid w:val="4A517024"/>
    <w:rsid w:val="4A623DAE"/>
    <w:rsid w:val="4A950CD1"/>
    <w:rsid w:val="4AA77FB0"/>
    <w:rsid w:val="4AAE319D"/>
    <w:rsid w:val="4AC0736A"/>
    <w:rsid w:val="4ADC4C52"/>
    <w:rsid w:val="4AE70E30"/>
    <w:rsid w:val="4B383656"/>
    <w:rsid w:val="4B434D9D"/>
    <w:rsid w:val="4B451300"/>
    <w:rsid w:val="4B682903"/>
    <w:rsid w:val="4B781AB0"/>
    <w:rsid w:val="4BC845F8"/>
    <w:rsid w:val="4BDD3213"/>
    <w:rsid w:val="4C064776"/>
    <w:rsid w:val="4C070F81"/>
    <w:rsid w:val="4C0C6FAA"/>
    <w:rsid w:val="4C2C0C40"/>
    <w:rsid w:val="4C3D0550"/>
    <w:rsid w:val="4C4D1774"/>
    <w:rsid w:val="4C5922E3"/>
    <w:rsid w:val="4C6529FC"/>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616F41"/>
    <w:rsid w:val="51011735"/>
    <w:rsid w:val="510F36BB"/>
    <w:rsid w:val="511D1761"/>
    <w:rsid w:val="51384DEC"/>
    <w:rsid w:val="51702733"/>
    <w:rsid w:val="51A449E4"/>
    <w:rsid w:val="51A926C6"/>
    <w:rsid w:val="51C06A2D"/>
    <w:rsid w:val="51C13FF5"/>
    <w:rsid w:val="51CE23F3"/>
    <w:rsid w:val="51F47CEB"/>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A56938"/>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B5015D"/>
    <w:rsid w:val="5CD43685"/>
    <w:rsid w:val="5CDF6AE0"/>
    <w:rsid w:val="5D1254D6"/>
    <w:rsid w:val="5D1E2F4C"/>
    <w:rsid w:val="5D250348"/>
    <w:rsid w:val="5D436289"/>
    <w:rsid w:val="5DB572C5"/>
    <w:rsid w:val="5DCB6271"/>
    <w:rsid w:val="5E06379B"/>
    <w:rsid w:val="5E1542E7"/>
    <w:rsid w:val="5E315223"/>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A06D6E"/>
    <w:rsid w:val="63A10617"/>
    <w:rsid w:val="63D20EF6"/>
    <w:rsid w:val="63FA2F37"/>
    <w:rsid w:val="63FC0D90"/>
    <w:rsid w:val="63FC3292"/>
    <w:rsid w:val="640E3EAC"/>
    <w:rsid w:val="64173809"/>
    <w:rsid w:val="64276A36"/>
    <w:rsid w:val="64362A83"/>
    <w:rsid w:val="64BC4849"/>
    <w:rsid w:val="64EB1809"/>
    <w:rsid w:val="650C1A6E"/>
    <w:rsid w:val="651801A7"/>
    <w:rsid w:val="655D02D3"/>
    <w:rsid w:val="65627BEE"/>
    <w:rsid w:val="657D67FD"/>
    <w:rsid w:val="65FC2BAF"/>
    <w:rsid w:val="66122830"/>
    <w:rsid w:val="66927063"/>
    <w:rsid w:val="66BA6EAA"/>
    <w:rsid w:val="66C07EF0"/>
    <w:rsid w:val="66C16953"/>
    <w:rsid w:val="66D8733F"/>
    <w:rsid w:val="670258F2"/>
    <w:rsid w:val="670854C8"/>
    <w:rsid w:val="670F1ABB"/>
    <w:rsid w:val="671F7489"/>
    <w:rsid w:val="672001EF"/>
    <w:rsid w:val="678910DD"/>
    <w:rsid w:val="679B05A0"/>
    <w:rsid w:val="67B03B6C"/>
    <w:rsid w:val="67BF39A3"/>
    <w:rsid w:val="67C41495"/>
    <w:rsid w:val="67D33BFB"/>
    <w:rsid w:val="683D3138"/>
    <w:rsid w:val="68C23C3C"/>
    <w:rsid w:val="68DF39AC"/>
    <w:rsid w:val="695151A5"/>
    <w:rsid w:val="69535E08"/>
    <w:rsid w:val="696B6E7D"/>
    <w:rsid w:val="69845667"/>
    <w:rsid w:val="69F97029"/>
    <w:rsid w:val="6A0871BF"/>
    <w:rsid w:val="6A137757"/>
    <w:rsid w:val="6A1A606C"/>
    <w:rsid w:val="6A257111"/>
    <w:rsid w:val="6A3E504A"/>
    <w:rsid w:val="6A6C3D1D"/>
    <w:rsid w:val="6A790A5E"/>
    <w:rsid w:val="6AAF44C2"/>
    <w:rsid w:val="6AC635B8"/>
    <w:rsid w:val="6AE9176C"/>
    <w:rsid w:val="6B224F0A"/>
    <w:rsid w:val="6B360FCF"/>
    <w:rsid w:val="6B3D425E"/>
    <w:rsid w:val="6BC45719"/>
    <w:rsid w:val="6BCD37BB"/>
    <w:rsid w:val="6BDB5825"/>
    <w:rsid w:val="6BDD113B"/>
    <w:rsid w:val="6BE71F6B"/>
    <w:rsid w:val="6BF40116"/>
    <w:rsid w:val="6C2A68C1"/>
    <w:rsid w:val="6C360280"/>
    <w:rsid w:val="6C561DDD"/>
    <w:rsid w:val="6C9713ED"/>
    <w:rsid w:val="6C9959F5"/>
    <w:rsid w:val="6CCE6662"/>
    <w:rsid w:val="6CDB1E3A"/>
    <w:rsid w:val="6CFB6B24"/>
    <w:rsid w:val="6D441C96"/>
    <w:rsid w:val="6D48591E"/>
    <w:rsid w:val="6D7718FF"/>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9F3454"/>
    <w:rsid w:val="6FBC4A99"/>
    <w:rsid w:val="6FBE0CEB"/>
    <w:rsid w:val="6FCC3E02"/>
    <w:rsid w:val="6FDD2E61"/>
    <w:rsid w:val="6FE64011"/>
    <w:rsid w:val="703F7F48"/>
    <w:rsid w:val="7050294C"/>
    <w:rsid w:val="7052085F"/>
    <w:rsid w:val="705E13CD"/>
    <w:rsid w:val="706E1C86"/>
    <w:rsid w:val="70952F7A"/>
    <w:rsid w:val="70A85DA9"/>
    <w:rsid w:val="70B64437"/>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9104E"/>
    <w:rsid w:val="77EA6E01"/>
    <w:rsid w:val="77F20C94"/>
    <w:rsid w:val="78213212"/>
    <w:rsid w:val="782637A3"/>
    <w:rsid w:val="78756D0D"/>
    <w:rsid w:val="78783041"/>
    <w:rsid w:val="787E6B8D"/>
    <w:rsid w:val="7883123D"/>
    <w:rsid w:val="788E58BD"/>
    <w:rsid w:val="78983E4F"/>
    <w:rsid w:val="78D9525B"/>
    <w:rsid w:val="790B5596"/>
    <w:rsid w:val="7920483A"/>
    <w:rsid w:val="79230442"/>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81</Pages>
  <Words>36328</Words>
  <Characters>37521</Characters>
  <Lines>309</Lines>
  <Paragraphs>87</Paragraphs>
  <TotalTime>10</TotalTime>
  <ScaleCrop>false</ScaleCrop>
  <LinksUpToDate>false</LinksUpToDate>
  <CharactersWithSpaces>41404</CharactersWithSpaces>
  <Application>WPS Office_11.8.2.9067_F1E327BC-269C-435d-A152-05C5408002CA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2022-10-17T06:14:46Z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2D5E4916FD9642E49664C4C38BC13424</vt:lpwstr>
  </property>
</Properties>
</file>