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auto"/>
          <w:sz w:val="21"/>
          <w:szCs w:val="21"/>
          <w:lang w:val="en-US" w:eastAsia="zh-CN"/>
        </w:rPr>
      </w:pPr>
      <w:r>
        <w:rPr>
          <w:rFonts w:hint="eastAsia"/>
          <w:color w:val="auto"/>
          <w:sz w:val="21"/>
          <w:szCs w:val="21"/>
          <w:lang w:val="en-US" w:eastAsia="zh-CN"/>
        </w:rPr>
        <w:t>越秀院区天棚消防排烟系统项目需求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一、内容</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工程名称：广东省妇幼保健院越秀院区天棚消防防排烟系统项目</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排烟机数量：1台</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工程地址：广州市越秀区广园西路13号</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承包方式：投标人负责招标人提供的设计图纸及清单内容进行施工，施工需符合消防安装工程规程规范。报价清单范围内的施工安装及质保期维护工作，按照报价清单内容，要求包工、包料、包机械、包工期、包文明安全施工、包验收保修、包通过相关部门验收并提供工程竣工验收所必要的资料。</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质量标准：符合省、市、区消防安全合格标准。</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安装工程：天棚消防防排烟系统项目，按消防设计的相关规范进行施工安装；详见图纸及工程量清单为准。</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根据新规范，排烟机及控制箱安装在原电梯机房内，接排烟风机控制箱的上桩电源为380V 由甲方负责。</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接入联动报警系统，具备强制排烟的功能。主要操作在天棚顶的加装百叶风口、风管、1台排烟风机，同时接入红外对射报警设备，增加一组排烟风机设备远程启动专线，用于联动排烟风机。</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 xml:space="preserve">工期要求：施工总期：10 日历天，签订合同到工程竣工验收完成，服务至质保期结束。 </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保修期：质量保修期从合同工程经验收合格之日起算一年。单项竣工验收的工程，按单项工程分别计算质量保修期。保修范围详见工程质量保修书。</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工程成本警戒价：工程成本警戒价为75600元 (招标控制价的80%)。对低于该警戒价的投标报价，投标人必须提供详细的施工组织设计、单价、措施性费用、单价分析表、主要材料价格表、投标人成本分析供议价小组参考，由议价小组判定其是否低于企业成本。在议价过程中，议价小组发现投标人的报价明显低于其他投标报价或者低于成本警戒价，使得其投标报价可能低于其个别成本的，应当要求该投标人作出书面说明并提供相关证明材料。投标人不能合理说明或者不能提供相关证明材料的，由议价小组认定该投标人以低于成本报价竞标，应当否决其投标。</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二、设计依据：</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1.GB50016-2014  《建筑设计防火规范》（2018版）</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2.GB50116-2013  《火灾自动报警系统设计规范》</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3.GB50054－2011 《低压配电设计规范》</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4.JGJ/16-2008   《民用建筑电气设计规范》</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5.GB50974-2014  《消防给水及消火栓系统技术规范》</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6.GB50084-2017  《自动喷水灭火系统设计规范》</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b/>
          <w:color w:val="auto"/>
          <w:sz w:val="21"/>
          <w:szCs w:val="21"/>
        </w:rPr>
      </w:pPr>
      <w:r>
        <w:rPr>
          <w:rFonts w:hint="eastAsia"/>
          <w:color w:val="auto"/>
          <w:sz w:val="21"/>
          <w:szCs w:val="21"/>
          <w:lang w:val="en-US" w:eastAsia="zh-CN"/>
        </w:rPr>
        <w:t>三、</w:t>
      </w:r>
      <w:r>
        <w:rPr>
          <w:rFonts w:hint="eastAsia"/>
          <w:b/>
          <w:color w:val="auto"/>
          <w:sz w:val="21"/>
          <w:szCs w:val="21"/>
        </w:rPr>
        <w:t>工程量清单及报价要求</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color w:val="auto"/>
          <w:sz w:val="21"/>
          <w:szCs w:val="21"/>
        </w:rPr>
      </w:pPr>
      <w:r>
        <w:rPr>
          <w:rFonts w:hint="eastAsia"/>
          <w:color w:val="auto"/>
          <w:sz w:val="21"/>
          <w:szCs w:val="21"/>
        </w:rPr>
        <w:t>1、工程量清单</w:t>
      </w:r>
    </w:p>
    <w:tbl>
      <w:tblPr>
        <w:tblStyle w:val="5"/>
        <w:tblW w:w="10207" w:type="dxa"/>
        <w:jc w:val="center"/>
        <w:tblInd w:w="0" w:type="dxa"/>
        <w:tblLayout w:type="fixed"/>
        <w:tblCellMar>
          <w:top w:w="0" w:type="dxa"/>
          <w:left w:w="108" w:type="dxa"/>
          <w:bottom w:w="0" w:type="dxa"/>
          <w:right w:w="108" w:type="dxa"/>
        </w:tblCellMar>
      </w:tblPr>
      <w:tblGrid>
        <w:gridCol w:w="710"/>
        <w:gridCol w:w="2267"/>
        <w:gridCol w:w="1844"/>
        <w:gridCol w:w="708"/>
        <w:gridCol w:w="709"/>
        <w:gridCol w:w="1134"/>
        <w:gridCol w:w="1364"/>
        <w:gridCol w:w="1471"/>
      </w:tblGrid>
      <w:tr>
        <w:tblPrEx>
          <w:tblLayout w:type="fixed"/>
          <w:tblCellMar>
            <w:top w:w="0" w:type="dxa"/>
            <w:left w:w="108" w:type="dxa"/>
            <w:bottom w:w="0" w:type="dxa"/>
            <w:right w:w="108" w:type="dxa"/>
          </w:tblCellMar>
        </w:tblPrEx>
        <w:trPr>
          <w:trHeight w:val="283"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b/>
                <w:bCs/>
                <w:color w:val="auto"/>
                <w:kern w:val="0"/>
                <w:sz w:val="21"/>
                <w:szCs w:val="21"/>
              </w:rPr>
            </w:pPr>
            <w:r>
              <w:rPr>
                <w:rFonts w:hint="eastAsia" w:ascii="宋体" w:hAnsi="宋体"/>
                <w:b/>
                <w:bCs/>
                <w:color w:val="auto"/>
                <w:kern w:val="0"/>
                <w:sz w:val="21"/>
                <w:szCs w:val="21"/>
              </w:rPr>
              <w:t>序号</w:t>
            </w:r>
          </w:p>
        </w:tc>
        <w:tc>
          <w:tcPr>
            <w:tcW w:w="22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b/>
                <w:bCs/>
                <w:color w:val="auto"/>
                <w:kern w:val="0"/>
                <w:sz w:val="21"/>
                <w:szCs w:val="21"/>
              </w:rPr>
            </w:pPr>
            <w:r>
              <w:rPr>
                <w:rFonts w:hint="eastAsia" w:ascii="宋体" w:hAnsi="宋体"/>
                <w:b/>
                <w:bCs/>
                <w:color w:val="auto"/>
                <w:kern w:val="0"/>
                <w:sz w:val="21"/>
                <w:szCs w:val="21"/>
              </w:rPr>
              <w:t>名称</w:t>
            </w:r>
          </w:p>
        </w:tc>
        <w:tc>
          <w:tcPr>
            <w:tcW w:w="18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b/>
                <w:bCs/>
                <w:color w:val="auto"/>
                <w:kern w:val="0"/>
                <w:sz w:val="21"/>
                <w:szCs w:val="21"/>
              </w:rPr>
            </w:pPr>
            <w:r>
              <w:rPr>
                <w:rFonts w:hint="eastAsia" w:ascii="宋体" w:hAnsi="宋体"/>
                <w:b/>
                <w:bCs/>
                <w:color w:val="auto"/>
                <w:kern w:val="0"/>
                <w:sz w:val="21"/>
                <w:szCs w:val="21"/>
              </w:rPr>
              <w:t>规格/型号</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b/>
                <w:bCs/>
                <w:color w:val="auto"/>
                <w:kern w:val="0"/>
                <w:sz w:val="21"/>
                <w:szCs w:val="21"/>
              </w:rPr>
            </w:pPr>
            <w:r>
              <w:rPr>
                <w:rFonts w:hint="eastAsia" w:ascii="宋体" w:hAnsi="宋体"/>
                <w:b/>
                <w:bCs/>
                <w:color w:val="auto"/>
                <w:kern w:val="0"/>
                <w:sz w:val="21"/>
                <w:szCs w:val="21"/>
              </w:rPr>
              <w:t>单位</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b/>
                <w:bCs/>
                <w:color w:val="auto"/>
                <w:kern w:val="0"/>
                <w:sz w:val="21"/>
                <w:szCs w:val="21"/>
              </w:rPr>
            </w:pPr>
            <w:r>
              <w:rPr>
                <w:rFonts w:hint="eastAsia" w:ascii="宋体" w:hAnsi="宋体"/>
                <w:b/>
                <w:bCs/>
                <w:color w:val="auto"/>
                <w:kern w:val="0"/>
                <w:sz w:val="21"/>
                <w:szCs w:val="21"/>
              </w:rPr>
              <w:t>数量</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b/>
                <w:bCs/>
                <w:color w:val="auto"/>
                <w:kern w:val="0"/>
                <w:sz w:val="21"/>
                <w:szCs w:val="21"/>
              </w:rPr>
            </w:pPr>
            <w:r>
              <w:rPr>
                <w:rFonts w:hint="eastAsia" w:ascii="宋体" w:hAnsi="宋体"/>
                <w:b/>
                <w:bCs/>
                <w:color w:val="auto"/>
                <w:kern w:val="0"/>
                <w:sz w:val="21"/>
                <w:szCs w:val="21"/>
              </w:rPr>
              <w:t>单价（元）</w:t>
            </w:r>
          </w:p>
        </w:tc>
        <w:tc>
          <w:tcPr>
            <w:tcW w:w="13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b/>
                <w:bCs/>
                <w:color w:val="auto"/>
                <w:kern w:val="0"/>
                <w:sz w:val="21"/>
                <w:szCs w:val="21"/>
              </w:rPr>
            </w:pPr>
            <w:r>
              <w:rPr>
                <w:rFonts w:hint="eastAsia" w:ascii="宋体" w:hAnsi="宋体"/>
                <w:b/>
                <w:bCs/>
                <w:color w:val="auto"/>
                <w:kern w:val="0"/>
                <w:sz w:val="21"/>
                <w:szCs w:val="21"/>
              </w:rPr>
              <w:t>合计（元）</w:t>
            </w:r>
          </w:p>
        </w:tc>
        <w:tc>
          <w:tcPr>
            <w:tcW w:w="14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b/>
                <w:bCs/>
                <w:color w:val="auto"/>
                <w:kern w:val="0"/>
                <w:sz w:val="21"/>
                <w:szCs w:val="21"/>
              </w:rPr>
            </w:pPr>
            <w:r>
              <w:rPr>
                <w:rFonts w:hint="eastAsia" w:ascii="宋体" w:hAnsi="宋体"/>
                <w:b/>
                <w:bCs/>
                <w:color w:val="auto"/>
                <w:kern w:val="0"/>
                <w:sz w:val="21"/>
                <w:szCs w:val="21"/>
              </w:rPr>
              <w:t>备注</w:t>
            </w:r>
          </w:p>
        </w:tc>
      </w:tr>
      <w:tr>
        <w:tblPrEx>
          <w:tblLayout w:type="fixed"/>
          <w:tblCellMar>
            <w:top w:w="0" w:type="dxa"/>
            <w:left w:w="108" w:type="dxa"/>
            <w:bottom w:w="0" w:type="dxa"/>
            <w:right w:w="108" w:type="dxa"/>
          </w:tblCellMar>
        </w:tblPrEx>
        <w:trPr>
          <w:trHeight w:val="497"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auto"/>
                <w:kern w:val="0"/>
                <w:sz w:val="21"/>
                <w:szCs w:val="21"/>
              </w:rPr>
            </w:pPr>
            <w:r>
              <w:rPr>
                <w:rFonts w:hint="eastAsia"/>
                <w:color w:val="auto"/>
                <w:kern w:val="0"/>
                <w:sz w:val="21"/>
                <w:szCs w:val="21"/>
              </w:rPr>
              <w:t>双路电源互投切换柜</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auto"/>
                <w:kern w:val="0"/>
                <w:sz w:val="21"/>
                <w:szCs w:val="21"/>
              </w:rPr>
            </w:pPr>
            <w:r>
              <w:rPr>
                <w:rFonts w:hint="eastAsia"/>
                <w:color w:val="auto"/>
                <w:kern w:val="0"/>
                <w:sz w:val="21"/>
                <w:szCs w:val="21"/>
              </w:rPr>
              <w:t>个</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auto"/>
                <w:sz w:val="21"/>
                <w:szCs w:val="21"/>
              </w:rPr>
            </w:pPr>
          </w:p>
        </w:tc>
      </w:tr>
      <w:tr>
        <w:tblPrEx>
          <w:tblLayout w:type="fixed"/>
          <w:tblCellMar>
            <w:top w:w="0" w:type="dxa"/>
            <w:left w:w="108" w:type="dxa"/>
            <w:bottom w:w="0" w:type="dxa"/>
            <w:right w:w="108" w:type="dxa"/>
          </w:tblCellMar>
        </w:tblPrEx>
        <w:trPr>
          <w:trHeight w:val="419"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排烟风机控制箱</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r>
              <w:rPr>
                <w:color w:val="auto"/>
                <w:sz w:val="21"/>
                <w:szCs w:val="21"/>
              </w:rPr>
              <w:t>5kw</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个</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836"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auto"/>
                <w:kern w:val="0"/>
                <w:sz w:val="21"/>
                <w:szCs w:val="21"/>
              </w:rPr>
            </w:pPr>
            <w:r>
              <w:rPr>
                <w:rFonts w:hint="eastAsia"/>
                <w:color w:val="auto"/>
                <w:kern w:val="0"/>
                <w:sz w:val="21"/>
                <w:szCs w:val="21"/>
              </w:rPr>
              <w:t>轴流式排烟风机</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50000cm/h， 750pa， 15kw</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auto"/>
                <w:kern w:val="0"/>
                <w:sz w:val="21"/>
                <w:szCs w:val="21"/>
              </w:rPr>
            </w:pPr>
            <w:r>
              <w:rPr>
                <w:rFonts w:hint="eastAsia"/>
                <w:color w:val="auto"/>
                <w:kern w:val="0"/>
                <w:sz w:val="21"/>
                <w:szCs w:val="21"/>
              </w:rPr>
              <w:t>台</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auto"/>
                <w:sz w:val="21"/>
                <w:szCs w:val="21"/>
              </w:rPr>
            </w:pPr>
          </w:p>
        </w:tc>
      </w:tr>
      <w:tr>
        <w:tblPrEx>
          <w:tblLayout w:type="fixed"/>
          <w:tblCellMar>
            <w:top w:w="0" w:type="dxa"/>
            <w:left w:w="108" w:type="dxa"/>
            <w:bottom w:w="0" w:type="dxa"/>
            <w:right w:w="108" w:type="dxa"/>
          </w:tblCellMar>
        </w:tblPrEx>
        <w:trPr>
          <w:trHeight w:val="283"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防雨百叶风口</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color w:val="auto"/>
                <w:sz w:val="21"/>
                <w:szCs w:val="21"/>
              </w:rPr>
              <w:t>1500</w:t>
            </w:r>
            <w:r>
              <w:rPr>
                <w:rFonts w:hint="eastAsia"/>
                <w:color w:val="auto"/>
                <w:sz w:val="21"/>
                <w:szCs w:val="21"/>
              </w:rPr>
              <w:t>×</w:t>
            </w:r>
            <w:r>
              <w:rPr>
                <w:color w:val="auto"/>
                <w:sz w:val="21"/>
                <w:szCs w:val="21"/>
              </w:rPr>
              <w:t>1000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个</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283"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防火阀</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280℃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台</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283"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风机电缆</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color w:val="auto"/>
                <w:sz w:val="21"/>
                <w:szCs w:val="21"/>
              </w:rPr>
              <w:t>NH-VV3</w:t>
            </w:r>
            <w:r>
              <w:rPr>
                <w:rFonts w:hint="eastAsia"/>
                <w:color w:val="auto"/>
                <w:sz w:val="21"/>
                <w:szCs w:val="21"/>
              </w:rPr>
              <w:t>×</w:t>
            </w:r>
            <w:r>
              <w:rPr>
                <w:color w:val="auto"/>
                <w:sz w:val="21"/>
                <w:szCs w:val="21"/>
              </w:rPr>
              <w:t>16+1</w:t>
            </w:r>
            <w:r>
              <w:rPr>
                <w:rFonts w:hint="eastAsia"/>
                <w:color w:val="auto"/>
                <w:sz w:val="21"/>
                <w:szCs w:val="21"/>
              </w:rPr>
              <w:t>×</w:t>
            </w:r>
            <w:r>
              <w:rPr>
                <w:color w:val="auto"/>
                <w:sz w:val="21"/>
                <w:szCs w:val="21"/>
              </w:rPr>
              <w:t>10mm²</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米</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283"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排烟风机专线电缆</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r>
              <w:rPr>
                <w:color w:val="auto"/>
                <w:sz w:val="21"/>
                <w:szCs w:val="21"/>
              </w:rPr>
              <w:t>ZR-RVVP8</w:t>
            </w:r>
            <w:r>
              <w:rPr>
                <w:rFonts w:hint="eastAsia"/>
                <w:color w:val="auto"/>
                <w:sz w:val="21"/>
                <w:szCs w:val="21"/>
              </w:rPr>
              <w:t>×</w:t>
            </w:r>
            <w:r>
              <w:rPr>
                <w:color w:val="auto"/>
                <w:sz w:val="21"/>
                <w:szCs w:val="21"/>
              </w:rPr>
              <w:t>1.5 mm²</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米</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r>
              <w:rPr>
                <w:color w:val="auto"/>
                <w:sz w:val="21"/>
                <w:szCs w:val="21"/>
              </w:rPr>
              <w:t>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283"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金属线槽</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color w:val="auto"/>
                <w:sz w:val="21"/>
                <w:szCs w:val="21"/>
              </w:rPr>
              <w:t>100</w:t>
            </w:r>
            <w:r>
              <w:rPr>
                <w:rFonts w:hint="eastAsia"/>
                <w:color w:val="auto"/>
                <w:sz w:val="21"/>
                <w:szCs w:val="21"/>
              </w:rPr>
              <w:t>×</w:t>
            </w:r>
            <w:r>
              <w:rPr>
                <w:color w:val="auto"/>
                <w:sz w:val="21"/>
                <w:szCs w:val="21"/>
              </w:rPr>
              <w:t>80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米</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283"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金属线管</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r>
              <w:rPr>
                <w:rFonts w:hint="eastAsia"/>
                <w:color w:val="auto"/>
                <w:sz w:val="21"/>
                <w:szCs w:val="21"/>
              </w:rPr>
              <w:t>∮32</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米</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r>
              <w:rPr>
                <w:color w:val="auto"/>
                <w:sz w:val="21"/>
                <w:szCs w:val="21"/>
              </w:rPr>
              <w:t>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283"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电动防火阀</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280℃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台</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283"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金属排烟竖风管</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color w:val="auto"/>
                <w:sz w:val="21"/>
                <w:szCs w:val="21"/>
              </w:rPr>
              <w:t>1000</w:t>
            </w:r>
            <w:r>
              <w:rPr>
                <w:rFonts w:hint="eastAsia"/>
                <w:color w:val="auto"/>
                <w:sz w:val="21"/>
                <w:szCs w:val="21"/>
              </w:rPr>
              <w:t>×</w:t>
            </w:r>
            <w:r>
              <w:rPr>
                <w:color w:val="auto"/>
                <w:sz w:val="21"/>
                <w:szCs w:val="21"/>
              </w:rPr>
              <w:t>1000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283"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金属排烟横风管</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color w:val="auto"/>
                <w:sz w:val="21"/>
                <w:szCs w:val="21"/>
              </w:rPr>
              <w:t>1000</w:t>
            </w:r>
            <w:r>
              <w:rPr>
                <w:rFonts w:hint="eastAsia"/>
                <w:color w:val="auto"/>
                <w:sz w:val="21"/>
                <w:szCs w:val="21"/>
              </w:rPr>
              <w:t>×</w:t>
            </w:r>
            <w:r>
              <w:rPr>
                <w:color w:val="auto"/>
                <w:sz w:val="21"/>
                <w:szCs w:val="21"/>
              </w:rPr>
              <w:t>1500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3</w:t>
            </w:r>
            <w:r>
              <w:rPr>
                <w:color w:val="auto"/>
                <w:sz w:val="21"/>
                <w:szCs w:val="21"/>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单层百叶风口</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color w:val="auto"/>
                <w:sz w:val="21"/>
                <w:szCs w:val="21"/>
              </w:rPr>
              <w:t>1500</w:t>
            </w:r>
            <w:r>
              <w:rPr>
                <w:rFonts w:hint="eastAsia"/>
                <w:color w:val="auto"/>
                <w:sz w:val="21"/>
                <w:szCs w:val="21"/>
              </w:rPr>
              <w:t>×</w:t>
            </w:r>
            <w:r>
              <w:rPr>
                <w:color w:val="auto"/>
                <w:sz w:val="21"/>
                <w:szCs w:val="21"/>
              </w:rPr>
              <w:t>1000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台</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自垂式百叶风口</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color w:val="auto"/>
                <w:sz w:val="21"/>
                <w:szCs w:val="21"/>
              </w:rPr>
              <w:t>700</w:t>
            </w:r>
            <w:r>
              <w:rPr>
                <w:rFonts w:hint="eastAsia"/>
                <w:color w:val="auto"/>
                <w:sz w:val="21"/>
                <w:szCs w:val="21"/>
              </w:rPr>
              <w:t>×</w:t>
            </w:r>
            <w:r>
              <w:rPr>
                <w:color w:val="auto"/>
                <w:sz w:val="21"/>
                <w:szCs w:val="21"/>
              </w:rPr>
              <w:t>400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台</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专线启动模块</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color w:val="auto"/>
                <w:sz w:val="21"/>
                <w:szCs w:val="21"/>
              </w:rPr>
              <w:t>LD-8305</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块</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防火阀监视模块</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color w:val="auto"/>
                <w:sz w:val="21"/>
                <w:szCs w:val="21"/>
              </w:rPr>
              <w:t>LD-8300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块</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电动防火阀模块</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color w:val="auto"/>
                <w:sz w:val="21"/>
                <w:szCs w:val="21"/>
              </w:rPr>
              <w:t>LD-8301</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块</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消防电话分机</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台</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金属线管</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r>
              <w:rPr>
                <w:rFonts w:hint="eastAsia"/>
                <w:color w:val="auto"/>
                <w:sz w:val="21"/>
                <w:szCs w:val="21"/>
              </w:rPr>
              <w:t>∮20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米</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2</w:t>
            </w:r>
            <w:r>
              <w:rPr>
                <w:color w:val="auto"/>
                <w:sz w:val="21"/>
                <w:szCs w:val="21"/>
              </w:rPr>
              <w:t>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阻燃双绞线</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r>
              <w:rPr>
                <w:color w:val="auto"/>
                <w:sz w:val="21"/>
                <w:szCs w:val="21"/>
              </w:rPr>
              <w:t>ZR-RVS-2</w:t>
            </w:r>
            <w:r>
              <w:rPr>
                <w:rFonts w:hint="eastAsia"/>
                <w:color w:val="auto"/>
                <w:sz w:val="21"/>
                <w:szCs w:val="21"/>
              </w:rPr>
              <w:t>×</w:t>
            </w:r>
            <w:r>
              <w:rPr>
                <w:color w:val="auto"/>
                <w:sz w:val="21"/>
                <w:szCs w:val="21"/>
              </w:rPr>
              <w:t>1.5mm²</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米</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2</w:t>
            </w:r>
            <w:r>
              <w:rPr>
                <w:color w:val="auto"/>
                <w:sz w:val="21"/>
                <w:szCs w:val="21"/>
              </w:rPr>
              <w:t>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2</w:t>
            </w:r>
            <w:r>
              <w:rPr>
                <w:color w:val="auto"/>
                <w:sz w:val="21"/>
                <w:szCs w:val="21"/>
              </w:rPr>
              <w:t>4V</w:t>
            </w:r>
            <w:r>
              <w:rPr>
                <w:rFonts w:hint="eastAsia"/>
                <w:color w:val="auto"/>
                <w:sz w:val="21"/>
                <w:szCs w:val="21"/>
              </w:rPr>
              <w:t>电源线</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r>
              <w:rPr>
                <w:color w:val="auto"/>
                <w:sz w:val="21"/>
                <w:szCs w:val="21"/>
              </w:rPr>
              <w:t>ZR-BV-1</w:t>
            </w:r>
            <w:r>
              <w:rPr>
                <w:rFonts w:hint="eastAsia"/>
                <w:color w:val="auto"/>
                <w:sz w:val="21"/>
                <w:szCs w:val="21"/>
              </w:rPr>
              <w:t>×</w:t>
            </w:r>
            <w:r>
              <w:rPr>
                <w:color w:val="auto"/>
                <w:sz w:val="21"/>
                <w:szCs w:val="21"/>
              </w:rPr>
              <w:t>1.5 mm²</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米</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color w:val="auto"/>
                <w:sz w:val="21"/>
                <w:szCs w:val="21"/>
              </w:rPr>
            </w:pPr>
            <w:r>
              <w:rPr>
                <w:rFonts w:hint="eastAsia"/>
                <w:color w:val="auto"/>
                <w:sz w:val="21"/>
                <w:szCs w:val="21"/>
              </w:rPr>
              <w:t>2</w:t>
            </w:r>
            <w:r>
              <w:rPr>
                <w:color w:val="auto"/>
                <w:sz w:val="21"/>
                <w:szCs w:val="21"/>
              </w:rPr>
              <w:t>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角铁</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r>
              <w:rPr>
                <w:color w:val="auto"/>
                <w:sz w:val="21"/>
                <w:szCs w:val="21"/>
              </w:rPr>
              <w:t>50</w:t>
            </w:r>
            <w:r>
              <w:rPr>
                <w:rFonts w:hint="eastAsia"/>
                <w:color w:val="auto"/>
                <w:sz w:val="21"/>
                <w:szCs w:val="21"/>
              </w:rPr>
              <w:t>×</w:t>
            </w:r>
            <w:r>
              <w:rPr>
                <w:color w:val="auto"/>
                <w:sz w:val="21"/>
                <w:szCs w:val="21"/>
              </w:rPr>
              <w:t>50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项</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报警主机编程</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r>
              <w:rPr>
                <w:rFonts w:hint="eastAsia"/>
                <w:color w:val="auto"/>
                <w:sz w:val="21"/>
                <w:szCs w:val="21"/>
              </w:rPr>
              <w:t>海湾</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项</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安装人工费</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工</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辅材费</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r>
              <w:rPr>
                <w:rFonts w:hint="eastAsia"/>
                <w:color w:val="auto"/>
                <w:sz w:val="21"/>
                <w:szCs w:val="21"/>
              </w:rPr>
              <w:t>风管配件、接线盒、码等</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项</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运费</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项</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440"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c>
          <w:tcPr>
            <w:tcW w:w="22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color w:val="auto"/>
                <w:sz w:val="21"/>
                <w:szCs w:val="21"/>
              </w:rPr>
            </w:pPr>
            <w:r>
              <w:rPr>
                <w:rFonts w:hint="eastAsia"/>
                <w:color w:val="auto"/>
                <w:sz w:val="21"/>
                <w:szCs w:val="21"/>
              </w:rPr>
              <w:t>排烟系统施工图纸设计、盖章费</w:t>
            </w:r>
          </w:p>
        </w:tc>
        <w:tc>
          <w:tcPr>
            <w:tcW w:w="184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项</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r>
              <w:rPr>
                <w:rFonts w:hint="eastAsia"/>
                <w:color w:val="auto"/>
                <w:sz w:val="21"/>
                <w:szCs w:val="21"/>
              </w:rPr>
              <w:t>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color w:val="auto"/>
                <w:sz w:val="21"/>
                <w:szCs w:val="21"/>
              </w:rPr>
            </w:pPr>
          </w:p>
        </w:tc>
      </w:tr>
      <w:tr>
        <w:tblPrEx>
          <w:tblLayout w:type="fixed"/>
          <w:tblCellMar>
            <w:top w:w="0" w:type="dxa"/>
            <w:left w:w="108" w:type="dxa"/>
            <w:bottom w:w="0" w:type="dxa"/>
            <w:right w:w="108" w:type="dxa"/>
          </w:tblCellMar>
        </w:tblPrEx>
        <w:trPr>
          <w:trHeight w:val="283"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r>
              <w:rPr>
                <w:rFonts w:hint="eastAsia" w:ascii="宋体" w:hAnsi="宋体"/>
                <w:color w:val="auto"/>
                <w:kern w:val="0"/>
                <w:sz w:val="21"/>
                <w:szCs w:val="21"/>
              </w:rPr>
              <w:t>A</w:t>
            </w:r>
          </w:p>
        </w:tc>
        <w:tc>
          <w:tcPr>
            <w:tcW w:w="22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color w:val="auto"/>
                <w:kern w:val="0"/>
                <w:sz w:val="21"/>
                <w:szCs w:val="21"/>
              </w:rPr>
            </w:pPr>
            <w:r>
              <w:rPr>
                <w:rFonts w:hint="eastAsia" w:ascii="宋体" w:hAnsi="宋体"/>
                <w:color w:val="auto"/>
                <w:kern w:val="0"/>
                <w:sz w:val="21"/>
                <w:szCs w:val="21"/>
              </w:rPr>
              <w:t>小计</w:t>
            </w:r>
          </w:p>
        </w:tc>
        <w:tc>
          <w:tcPr>
            <w:tcW w:w="439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r>
              <w:rPr>
                <w:rFonts w:hint="eastAsia" w:ascii="宋体" w:hAnsi="宋体"/>
                <w:color w:val="auto"/>
                <w:kern w:val="0"/>
                <w:sz w:val="21"/>
                <w:szCs w:val="21"/>
              </w:rPr>
              <w:t>1～</w:t>
            </w:r>
            <w:r>
              <w:rPr>
                <w:rFonts w:ascii="宋体" w:hAnsi="宋体"/>
                <w:color w:val="auto"/>
                <w:kern w:val="0"/>
                <w:sz w:val="21"/>
                <w:szCs w:val="21"/>
              </w:rPr>
              <w:t>27</w:t>
            </w:r>
            <w:r>
              <w:rPr>
                <w:rFonts w:hint="eastAsia" w:ascii="宋体" w:hAnsi="宋体"/>
                <w:color w:val="auto"/>
                <w:kern w:val="0"/>
                <w:sz w:val="21"/>
                <w:szCs w:val="21"/>
              </w:rPr>
              <w:t>项</w:t>
            </w:r>
          </w:p>
        </w:tc>
        <w:tc>
          <w:tcPr>
            <w:tcW w:w="13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right"/>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color w:val="auto"/>
                <w:kern w:val="0"/>
                <w:sz w:val="21"/>
                <w:szCs w:val="21"/>
              </w:rPr>
            </w:pPr>
          </w:p>
        </w:tc>
      </w:tr>
      <w:tr>
        <w:tblPrEx>
          <w:tblLayout w:type="fixed"/>
          <w:tblCellMar>
            <w:top w:w="0" w:type="dxa"/>
            <w:left w:w="108" w:type="dxa"/>
            <w:bottom w:w="0" w:type="dxa"/>
            <w:right w:w="108" w:type="dxa"/>
          </w:tblCellMar>
        </w:tblPrEx>
        <w:trPr>
          <w:trHeight w:val="416"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r>
              <w:rPr>
                <w:rFonts w:hint="eastAsia" w:ascii="宋体" w:hAnsi="宋体"/>
                <w:color w:val="auto"/>
                <w:kern w:val="0"/>
                <w:sz w:val="21"/>
                <w:szCs w:val="21"/>
              </w:rPr>
              <w:t>B</w:t>
            </w:r>
          </w:p>
        </w:tc>
        <w:tc>
          <w:tcPr>
            <w:tcW w:w="2267"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b/>
                <w:bCs/>
                <w:color w:val="auto"/>
                <w:kern w:val="0"/>
                <w:sz w:val="21"/>
                <w:szCs w:val="21"/>
              </w:rPr>
            </w:pPr>
            <w:r>
              <w:rPr>
                <w:rFonts w:hint="eastAsia" w:ascii="宋体" w:hAnsi="宋体"/>
                <w:b/>
                <w:bCs/>
                <w:color w:val="auto"/>
                <w:kern w:val="0"/>
                <w:sz w:val="21"/>
                <w:szCs w:val="21"/>
              </w:rPr>
              <w:t>合计</w:t>
            </w:r>
          </w:p>
        </w:tc>
        <w:tc>
          <w:tcPr>
            <w:tcW w:w="439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r>
              <w:rPr>
                <w:rFonts w:ascii="宋体" w:hAnsi="宋体"/>
                <w:color w:val="auto"/>
                <w:kern w:val="0"/>
                <w:sz w:val="21"/>
                <w:szCs w:val="21"/>
              </w:rPr>
              <w:t>A*9%</w:t>
            </w: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right"/>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color w:val="auto"/>
                <w:kern w:val="0"/>
                <w:sz w:val="21"/>
                <w:szCs w:val="21"/>
              </w:rPr>
            </w:pPr>
          </w:p>
        </w:tc>
      </w:tr>
      <w:tr>
        <w:tblPrEx>
          <w:tblLayout w:type="fixed"/>
          <w:tblCellMar>
            <w:top w:w="0" w:type="dxa"/>
            <w:left w:w="108" w:type="dxa"/>
            <w:bottom w:w="0" w:type="dxa"/>
            <w:right w:w="108" w:type="dxa"/>
          </w:tblCellMar>
        </w:tblPrEx>
        <w:trPr>
          <w:trHeight w:val="422"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r>
              <w:rPr>
                <w:rFonts w:hint="eastAsia" w:ascii="宋体" w:hAnsi="宋体"/>
                <w:color w:val="auto"/>
                <w:kern w:val="0"/>
                <w:sz w:val="21"/>
                <w:szCs w:val="21"/>
              </w:rPr>
              <w:t>C</w:t>
            </w:r>
          </w:p>
        </w:tc>
        <w:tc>
          <w:tcPr>
            <w:tcW w:w="2267"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b/>
                <w:bCs/>
                <w:color w:val="auto"/>
                <w:kern w:val="0"/>
                <w:sz w:val="21"/>
                <w:szCs w:val="21"/>
              </w:rPr>
            </w:pPr>
            <w:r>
              <w:rPr>
                <w:rFonts w:hint="eastAsia" w:ascii="宋体" w:hAnsi="宋体"/>
                <w:b/>
                <w:bCs/>
                <w:color w:val="auto"/>
                <w:kern w:val="0"/>
                <w:sz w:val="21"/>
                <w:szCs w:val="21"/>
              </w:rPr>
              <w:t>税费11%</w:t>
            </w:r>
          </w:p>
        </w:tc>
        <w:tc>
          <w:tcPr>
            <w:tcW w:w="439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r>
              <w:rPr>
                <w:rFonts w:ascii="宋体" w:hAnsi="宋体"/>
                <w:color w:val="auto"/>
                <w:kern w:val="0"/>
                <w:sz w:val="21"/>
                <w:szCs w:val="21"/>
              </w:rPr>
              <w:t>A+B</w:t>
            </w:r>
          </w:p>
        </w:tc>
        <w:tc>
          <w:tcPr>
            <w:tcW w:w="13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right"/>
              <w:textAlignment w:val="auto"/>
              <w:rPr>
                <w:color w:val="auto"/>
                <w:sz w:val="21"/>
                <w:szCs w:val="21"/>
              </w:rPr>
            </w:pPr>
          </w:p>
        </w:tc>
        <w:tc>
          <w:tcPr>
            <w:tcW w:w="1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p>
        </w:tc>
      </w:tr>
      <w:tr>
        <w:tblPrEx>
          <w:tblLayout w:type="fixed"/>
          <w:tblCellMar>
            <w:top w:w="0" w:type="dxa"/>
            <w:left w:w="108" w:type="dxa"/>
            <w:bottom w:w="0" w:type="dxa"/>
            <w:right w:w="108" w:type="dxa"/>
          </w:tblCellMar>
        </w:tblPrEx>
        <w:trPr>
          <w:trHeight w:val="413" w:hRule="atLeast"/>
          <w:jc w:val="center"/>
        </w:trPr>
        <w:tc>
          <w:tcPr>
            <w:tcW w:w="71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color w:val="auto"/>
                <w:kern w:val="0"/>
                <w:sz w:val="21"/>
                <w:szCs w:val="21"/>
              </w:rPr>
            </w:pPr>
            <w:r>
              <w:rPr>
                <w:rFonts w:hint="eastAsia" w:ascii="宋体" w:hAnsi="宋体"/>
                <w:color w:val="auto"/>
                <w:kern w:val="0"/>
                <w:sz w:val="21"/>
                <w:szCs w:val="21"/>
              </w:rPr>
              <w:t>D</w:t>
            </w:r>
          </w:p>
        </w:tc>
        <w:tc>
          <w:tcPr>
            <w:tcW w:w="2267"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b/>
                <w:bCs/>
                <w:color w:val="auto"/>
                <w:kern w:val="0"/>
                <w:sz w:val="21"/>
                <w:szCs w:val="21"/>
              </w:rPr>
            </w:pPr>
            <w:r>
              <w:rPr>
                <w:rFonts w:hint="eastAsia" w:ascii="宋体" w:hAnsi="宋体"/>
                <w:b/>
                <w:bCs/>
                <w:color w:val="auto"/>
                <w:kern w:val="0"/>
                <w:sz w:val="21"/>
                <w:szCs w:val="21"/>
              </w:rPr>
              <w:t>总合计</w:t>
            </w:r>
          </w:p>
        </w:tc>
        <w:tc>
          <w:tcPr>
            <w:tcW w:w="723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b/>
                <w:bCs/>
                <w:color w:val="auto"/>
                <w:kern w:val="0"/>
                <w:sz w:val="21"/>
                <w:szCs w:val="21"/>
              </w:rPr>
            </w:pPr>
          </w:p>
        </w:tc>
      </w:tr>
    </w:tbl>
    <w:p>
      <w:pPr>
        <w:pStyle w:val="2"/>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olor w:val="auto"/>
          <w:sz w:val="21"/>
          <w:szCs w:val="21"/>
        </w:rPr>
      </w:pPr>
      <w:r>
        <w:rPr>
          <w:rFonts w:hint="eastAsia" w:ascii="宋体" w:hAnsi="宋体" w:cs="宋体"/>
          <w:color w:val="auto"/>
          <w:sz w:val="21"/>
          <w:szCs w:val="21"/>
          <w:lang w:val="en-US"/>
        </w:rPr>
        <w:t>2、以上报价不包括相关土建工程费用、消防设施检测费用、消防报建费用、排烟风机控制箱的上桩电源接入费用等；工程质量标准：所有施工和材料所涉及的设计标准规范（如产品标准/规范、工程标准/规范、验收标准/规范等）完全符合所有中华人民</w:t>
      </w:r>
      <w:r>
        <w:rPr>
          <w:rFonts w:hint="eastAsia" w:ascii="宋体" w:hAnsi="宋体"/>
          <w:color w:val="auto"/>
          <w:sz w:val="21"/>
          <w:szCs w:val="21"/>
        </w:rPr>
        <w:t>共和国的标准</w:t>
      </w:r>
      <w:bookmarkStart w:id="0" w:name="_GoBack"/>
      <w:bookmarkEnd w:id="0"/>
      <w:r>
        <w:rPr>
          <w:rFonts w:hint="eastAsia" w:ascii="宋体" w:hAnsi="宋体"/>
          <w:color w:val="auto"/>
          <w:sz w:val="21"/>
          <w:szCs w:val="21"/>
        </w:rPr>
        <w:t>及规范。</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ascii="宋体" w:hAnsi="宋体"/>
          <w:color w:val="auto"/>
          <w:sz w:val="21"/>
          <w:szCs w:val="21"/>
        </w:rPr>
      </w:pPr>
      <w:r>
        <w:rPr>
          <w:rFonts w:hint="eastAsia" w:ascii="宋体" w:hAnsi="宋体"/>
          <w:color w:val="auto"/>
          <w:sz w:val="21"/>
          <w:szCs w:val="21"/>
        </w:rPr>
        <w:t>3.承揽方式：固定总价合同包干(根据招标人所提供的</w:t>
      </w:r>
      <w:r>
        <w:rPr>
          <w:rFonts w:hint="eastAsia" w:ascii="宋体" w:hAnsi="宋体"/>
          <w:color w:val="auto"/>
          <w:sz w:val="21"/>
          <w:szCs w:val="21"/>
          <w:lang w:val="en-US" w:eastAsia="zh-CN"/>
        </w:rPr>
        <w:t>需求</w:t>
      </w:r>
      <w:r>
        <w:rPr>
          <w:rFonts w:hint="eastAsia" w:ascii="宋体" w:hAnsi="宋体"/>
          <w:color w:val="auto"/>
          <w:sz w:val="21"/>
          <w:szCs w:val="21"/>
        </w:rPr>
        <w:t>文件、工程量清单、施工图、物料表、采购人答疑纪要等范围内的工程内容，由成交人包工、包料、包工期、包质量、包安全、包文明施工、包夜间施工，包验收合格，包保修，总价不变)。</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4</w:t>
      </w:r>
      <w:r>
        <w:rPr>
          <w:rFonts w:ascii="宋体" w:hAnsi="宋体"/>
          <w:color w:val="auto"/>
          <w:sz w:val="21"/>
          <w:szCs w:val="21"/>
        </w:rPr>
        <w:t>.</w:t>
      </w:r>
      <w:r>
        <w:rPr>
          <w:rFonts w:hint="eastAsia" w:ascii="宋体" w:hAnsi="宋体"/>
          <w:color w:val="auto"/>
          <w:sz w:val="21"/>
          <w:szCs w:val="21"/>
        </w:rPr>
        <w:t>合格的供应商应对本工程的全部标的物进行报价，不允许只对部分工程报价。</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5.工程量增减调整方法：供应商一旦成交，成交人对采购人提供的工程量清单中列出的工程项目所报出的总价，在工程结算时将不得变更。在实际施工过程中工程量可能与本报价文件工程量清单所提供的工程量不一致，请成交人根据报价文件工程量清单自行考虑，并将此风险产生的费用计入总报价中，供应商成交后，不得以此为理由增加费用。</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四、现场踏勘时间、地点</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1. 本项目不安排集中踏勘，认为有需要的供应商可在工作日上班时间自行前往。</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2. 现场踏勘地点：广州市越秀区广园西路13号</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3. 踏勘联系人：张庆平</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宋体" w:hAnsi="宋体" w:eastAsiaTheme="minorEastAsia"/>
          <w:color w:val="auto"/>
          <w:sz w:val="21"/>
          <w:szCs w:val="21"/>
          <w:lang w:val="en-US" w:eastAsia="zh-CN"/>
        </w:rPr>
      </w:pPr>
      <w:r>
        <w:rPr>
          <w:rFonts w:hint="eastAsia" w:ascii="宋体" w:hAnsi="宋体"/>
          <w:color w:val="auto"/>
          <w:sz w:val="21"/>
          <w:szCs w:val="21"/>
          <w:lang w:val="en-US" w:eastAsia="zh-CN"/>
        </w:rPr>
        <w:t>4. 联系方式：020-61118677</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sz w:val="21"/>
          <w:szCs w:val="2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A3DD6"/>
    <w:multiLevelType w:val="multilevel"/>
    <w:tmpl w:val="598A3DD6"/>
    <w:lvl w:ilvl="0" w:tentative="0">
      <w:start w:val="1"/>
      <w:numFmt w:val="decimal"/>
      <w:lvlText w:val="%1"/>
      <w:lvlJc w:val="left"/>
      <w:pPr>
        <w:ind w:left="420" w:hanging="42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14FB1"/>
    <w:rsid w:val="08D43A1B"/>
    <w:rsid w:val="0C662300"/>
    <w:rsid w:val="0CF06502"/>
    <w:rsid w:val="1028040D"/>
    <w:rsid w:val="1AFF66C2"/>
    <w:rsid w:val="1D4D3F46"/>
    <w:rsid w:val="2F1C42ED"/>
    <w:rsid w:val="45814FB1"/>
    <w:rsid w:val="4D2C65D6"/>
    <w:rsid w:val="6E6A1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before="156" w:beforeLines="50" w:line="500" w:lineRule="exact"/>
      <w:ind w:firstLine="480" w:firstLineChars="200"/>
    </w:pPr>
    <w:rPr>
      <w:rFonts w:ascii="Times New Roman" w:hAnsi="Times New Roman" w:cs="Times New Roman"/>
      <w:szCs w:val="24"/>
      <w:lang w:val="en-PH"/>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2020-12-30T01:26:00Z</dcterms:created>
  <dc:creator>李浩基</dc:creator>
  <cp:lastModifiedBy>李浩基</cp:lastModifiedBy>
  <dcterms:modified xsi:type="dcterms:W3CDTF">2020-12-30T01:52:24Z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