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12</w:t>
      </w:r>
    </w:p>
    <w:p>
      <w:pPr>
        <w:spacing w:line="500" w:lineRule="exact"/>
        <w:ind w:firstLine="840" w:firstLineChars="279"/>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一次性使用高压注射器及附件</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9048"/>
      <w:bookmarkStart w:id="2" w:name="_Toc98578990"/>
      <w:bookmarkStart w:id="3" w:name="_Toc98580272"/>
      <w:bookmarkStart w:id="4" w:name="_Toc127930770"/>
      <w:bookmarkStart w:id="5" w:name="_Toc98579589"/>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w:t>
      </w:r>
      <w:bookmarkStart w:id="275" w:name="_GoBack"/>
      <w:bookmarkEnd w:id="275"/>
      <w:r>
        <w:rPr>
          <w:rFonts w:hint="default" w:ascii="Times New Roman" w:hAnsi="Times New Roman" w:eastAsia="黑体" w:cs="Times New Roman"/>
          <w:szCs w:val="52"/>
        </w:rPr>
        <w:t>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50</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2497407"/>
      <w:bookmarkStart w:id="9" w:name="_Toc273520765"/>
      <w:bookmarkStart w:id="10" w:name="_Toc268004446"/>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8847"/>
      <w:bookmarkStart w:id="13" w:name="_Toc15039"/>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12</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eastAsia" w:ascii="Times New Roman" w:hAnsi="Times New Roman" w:cs="Times New Roman"/>
          <w:bCs/>
          <w:sz w:val="24"/>
          <w:u w:val="single"/>
          <w:lang w:val="en-US" w:eastAsia="zh-CN"/>
        </w:rPr>
        <w:t>一次性使用高压注射器及附件</w:t>
      </w:r>
      <w:r>
        <w:rPr>
          <w:rFonts w:hint="default" w:ascii="Times New Roman" w:hAnsi="Times New Roman" w:cs="Times New Roman"/>
          <w:bCs/>
          <w:sz w:val="24"/>
          <w:u w:val="single"/>
          <w:lang w:val="zh-CN"/>
        </w:rPr>
        <w:t>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8947"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3474"/>
        <w:gridCol w:w="2483"/>
        <w:gridCol w:w="299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3474"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2483"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990"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3474"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en-US" w:eastAsia="zh-CN"/>
              </w:rPr>
              <w:t>一次性使用高压注射器及附件</w:t>
            </w:r>
          </w:p>
        </w:tc>
        <w:tc>
          <w:tcPr>
            <w:tcW w:w="2483"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990"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w:t>
            </w:r>
            <w:r>
              <w:rPr>
                <w:rFonts w:hint="eastAsia" w:ascii="Times New Roman" w:hAnsi="Times New Roman" w:cs="Times New Roman"/>
                <w:bCs/>
                <w:sz w:val="24"/>
                <w:lang w:val="en-US" w:eastAsia="zh-CN"/>
              </w:rPr>
              <w:t>磋商文件</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17</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24</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24</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12</w:t>
      </w:r>
      <w:r>
        <w:rPr>
          <w:rFonts w:hint="default" w:ascii="Times New Roman" w:hAnsi="Times New Roman" w:cs="Times New Roman"/>
          <w:b/>
          <w:bCs/>
          <w:sz w:val="24"/>
        </w:rPr>
        <w:t>+</w:t>
      </w:r>
      <w:r>
        <w:rPr>
          <w:rFonts w:hint="eastAsia" w:ascii="Times New Roman" w:hAnsi="Times New Roman" w:cs="Times New Roman"/>
          <w:b/>
          <w:bCs/>
          <w:sz w:val="24"/>
          <w:lang w:val="en-US" w:eastAsia="zh-CN"/>
        </w:rPr>
        <w:t>高压注射器及附件</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28</w:t>
      </w:r>
      <w:r>
        <w:rPr>
          <w:rFonts w:hint="default" w:ascii="Times New Roman" w:hAnsi="Times New Roman" w:cs="Times New Roman"/>
          <w:sz w:val="24"/>
          <w:szCs w:val="24"/>
        </w:rPr>
        <w:t>日</w:t>
      </w:r>
      <w:r>
        <w:rPr>
          <w:rFonts w:hint="default" w:ascii="Times New Roman" w:hAnsi="Times New Roman" w:cs="Times New Roman"/>
          <w:sz w:val="24"/>
        </w:rPr>
        <w:t>9:00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28</w:t>
      </w:r>
      <w:r>
        <w:rPr>
          <w:rFonts w:hint="default" w:ascii="Times New Roman" w:hAnsi="Times New Roman" w:cs="Times New Roman"/>
          <w:sz w:val="24"/>
          <w:szCs w:val="24"/>
        </w:rPr>
        <w:t>日</w:t>
      </w:r>
      <w:r>
        <w:rPr>
          <w:rFonts w:hint="default" w:ascii="Times New Roman" w:hAnsi="Times New Roman" w:cs="Times New Roman"/>
          <w:sz w:val="24"/>
        </w:rPr>
        <w:t>9:00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w:t>
      </w:r>
      <w:r>
        <w:rPr>
          <w:rFonts w:hint="eastAsia" w:ascii="Times New Roman" w:hAnsi="Times New Roman" w:cs="Times New Roman"/>
          <w:sz w:val="24"/>
          <w:szCs w:val="22"/>
          <w:lang w:val="en-US" w:eastAsia="zh-CN"/>
        </w:rPr>
        <w:t>或</w:t>
      </w:r>
      <w:r>
        <w:rPr>
          <w:rFonts w:hint="default" w:ascii="Times New Roman" w:hAnsi="Times New Roman" w:cs="Times New Roman"/>
          <w:sz w:val="24"/>
          <w:szCs w:val="22"/>
        </w:rPr>
        <w:t>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17</w:t>
      </w:r>
      <w:r>
        <w:rPr>
          <w:rFonts w:hint="default" w:ascii="Times New Roman" w:hAnsi="Times New Roman" w:cs="Times New Roman"/>
          <w:sz w:val="24"/>
          <w:szCs w:val="24"/>
        </w:rPr>
        <w:t>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41884682"/>
      <w:bookmarkStart w:id="15" w:name="_Toc101843108"/>
      <w:bookmarkStart w:id="16" w:name="_Toc101775108"/>
      <w:bookmarkStart w:id="17" w:name="_Toc98578991"/>
      <w:bookmarkStart w:id="18" w:name="_Toc175644385"/>
      <w:bookmarkStart w:id="19" w:name="_Toc46308679"/>
      <w:bookmarkStart w:id="20" w:name="_Toc101951241"/>
      <w:bookmarkStart w:id="21" w:name="_Toc98035084"/>
      <w:bookmarkStart w:id="22" w:name="_Toc273520766"/>
      <w:bookmarkStart w:id="23" w:name="_Toc272497408"/>
      <w:bookmarkStart w:id="24" w:name="_Toc42394652"/>
      <w:bookmarkStart w:id="25" w:name="_Toc98579049"/>
      <w:bookmarkStart w:id="26" w:name="_Toc41723912"/>
      <w:bookmarkStart w:id="27" w:name="_Toc101771355"/>
      <w:bookmarkStart w:id="28" w:name="_Toc46308523"/>
      <w:bookmarkStart w:id="29" w:name="_Toc42313150"/>
      <w:bookmarkStart w:id="30" w:name="_Toc98579590"/>
      <w:bookmarkStart w:id="31" w:name="_Toc42394495"/>
      <w:bookmarkStart w:id="32" w:name="_Toc98580273"/>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569520"/>
      <w:bookmarkEnd w:id="35"/>
      <w:bookmarkStart w:id="36" w:name="_Toc37581421"/>
      <w:bookmarkEnd w:id="36"/>
      <w:bookmarkStart w:id="37" w:name="_Toc40762371"/>
      <w:bookmarkEnd w:id="37"/>
      <w:bookmarkStart w:id="38" w:name="_Toc37663392"/>
      <w:bookmarkEnd w:id="38"/>
      <w:bookmarkStart w:id="39" w:name="_Toc46308684"/>
      <w:bookmarkEnd w:id="39"/>
      <w:bookmarkStart w:id="40" w:name="_Toc37245277"/>
      <w:bookmarkEnd w:id="40"/>
      <w:bookmarkStart w:id="41" w:name="_Toc37331081"/>
      <w:bookmarkEnd w:id="41"/>
      <w:bookmarkStart w:id="42" w:name="_Toc46308528"/>
      <w:bookmarkEnd w:id="42"/>
      <w:bookmarkStart w:id="43" w:name="_Toc37331039"/>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一次性使用高压注射器及附件</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765"/>
        <w:gridCol w:w="2689"/>
        <w:gridCol w:w="3237"/>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942"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87"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7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942"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en-US" w:eastAsia="zh-CN"/>
              </w:rPr>
              <w:t>一次性使用高压注射器及附件</w:t>
            </w:r>
          </w:p>
        </w:tc>
        <w:tc>
          <w:tcPr>
            <w:tcW w:w="1387"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67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详见清单</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kern w:val="2"/>
          <w:sz w:val="24"/>
          <w:lang w:val="en-US" w:eastAsia="zh-CN"/>
        </w:rPr>
        <w:t>1、1）</w:t>
      </w:r>
      <w:r>
        <w:rPr>
          <w:rFonts w:hint="default" w:ascii="Times New Roman" w:hAnsi="Times New Roman" w:cs="Times New Roman"/>
          <w:sz w:val="24"/>
          <w:lang w:val="en-US" w:eastAsia="zh-CN"/>
        </w:rPr>
        <w:t>一次性使用高压注射器及附件（单筒）</w:t>
      </w:r>
    </w:p>
    <w:p>
      <w:pPr>
        <w:widowControl w:val="0"/>
        <w:spacing w:line="360" w:lineRule="auto"/>
        <w:ind w:firstLine="960" w:firstLineChars="4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2）一次性使用高压注射器及附件（双筒）</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sz w:val="24"/>
          <w:lang w:val="en-US" w:eastAsia="zh-CN"/>
        </w:rPr>
        <w:t>2、用途：</w:t>
      </w:r>
      <w:r>
        <w:rPr>
          <w:rFonts w:hint="default" w:ascii="Times New Roman" w:hAnsi="Times New Roman" w:cs="Times New Roman"/>
          <w:kern w:val="2"/>
          <w:sz w:val="24"/>
          <w:lang w:val="en-US" w:eastAsia="zh-CN"/>
        </w:rPr>
        <w:t>与CT、MRI等高压注射器配合使用，用于输注造影剂。</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▲1、产品须匹配在用日本Nemoto SONIC SHOT GX、有沃医疗CT202、集倍医疗OptiVantage、信冠医疗Zenith-H15、Zenith-C11、美国理博Optistar Mallinckrodt、德国MED TRON Touch Screen Accutron MR 高压注射器；</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2、产品配件须包含但不限于注射器、压力连接管等；</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▲3、配件耐压值＞300~＜1200Psi；</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4、产品须经环氧乙烷灭菌；</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5、产品表面应清洁无杂质，无加工缺陷和表面缺陷；</w:t>
      </w:r>
    </w:p>
    <w:p>
      <w:pPr>
        <w:widowControl w:val="0"/>
        <w:spacing w:line="360" w:lineRule="auto"/>
        <w:ind w:firstLine="480" w:firstLineChars="200"/>
        <w:jc w:val="both"/>
        <w:rPr>
          <w:rFonts w:ascii="宋体" w:hAnsi="Times New Roman" w:eastAsia="宋体" w:cs="宋体"/>
          <w:kern w:val="2"/>
          <w:szCs w:val="21"/>
        </w:rPr>
      </w:pPr>
      <w:r>
        <w:rPr>
          <w:rFonts w:hint="eastAsia" w:ascii="Times New Roman" w:hAnsi="Times New Roman" w:cs="Times New Roman"/>
          <w:sz w:val="24"/>
          <w:lang w:val="en-US" w:eastAsia="zh-CN"/>
        </w:rPr>
        <w:t>6、产品有效期应≥24个月。</w:t>
      </w:r>
    </w:p>
    <w:p>
      <w:pPr>
        <w:widowControl w:val="0"/>
        <w:tabs>
          <w:tab w:val="left" w:pos="360"/>
        </w:tabs>
        <w:spacing w:line="360" w:lineRule="auto"/>
        <w:outlineLvl w:val="1"/>
        <w:rPr>
          <w:rFonts w:hint="default" w:ascii="Times New Roman" w:hAnsi="Times New Roman" w:cs="Times New Roman"/>
          <w:b/>
          <w:sz w:val="20"/>
        </w:rPr>
      </w:pPr>
      <w:r>
        <w:rPr>
          <w:rFonts w:hint="default" w:ascii="Times New Roman" w:hAnsi="Times New Roman" w:cs="Times New Roman"/>
          <w:b/>
          <w:bCs/>
          <w:sz w:val="24"/>
        </w:rPr>
        <w:t>六、</w:t>
      </w:r>
      <w:r>
        <w:rPr>
          <w:rFonts w:hint="eastAsia" w:ascii="Times New Roman" w:hAnsi="Times New Roman" w:cs="Times New Roman"/>
          <w:b/>
          <w:bCs/>
          <w:sz w:val="24"/>
          <w:lang w:val="en-US" w:eastAsia="zh-CN"/>
        </w:rPr>
        <w:t>配置</w:t>
      </w:r>
      <w:r>
        <w:rPr>
          <w:rFonts w:hint="default" w:ascii="Times New Roman" w:hAnsi="Times New Roman" w:cs="Times New Roman"/>
          <w:b/>
          <w:bCs/>
          <w:sz w:val="24"/>
        </w:rPr>
        <w:t>清单</w:t>
      </w:r>
    </w:p>
    <w:tbl>
      <w:tblPr>
        <w:tblStyle w:val="4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5221"/>
        <w:gridCol w:w="1434"/>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Pr>
          <w:p>
            <w:pPr>
              <w:widowControl w:val="0"/>
              <w:jc w:val="center"/>
              <w:rPr>
                <w:rFonts w:ascii="宋体" w:hAnsi="Times New Roman" w:eastAsia="宋体" w:cs="Times New Roman"/>
                <w:b/>
                <w:kern w:val="0"/>
                <w:sz w:val="24"/>
                <w:szCs w:val="24"/>
              </w:rPr>
            </w:pPr>
            <w:r>
              <w:rPr>
                <w:rFonts w:hint="eastAsia" w:ascii="宋体" w:hAnsi="宋体" w:eastAsia="宋体" w:cs="Times New Roman"/>
                <w:b/>
                <w:kern w:val="0"/>
                <w:sz w:val="24"/>
                <w:szCs w:val="24"/>
              </w:rPr>
              <w:t>序号</w:t>
            </w:r>
          </w:p>
        </w:tc>
        <w:tc>
          <w:tcPr>
            <w:tcW w:w="2699" w:type="pct"/>
          </w:tcPr>
          <w:p>
            <w:pPr>
              <w:widowControl w:val="0"/>
              <w:jc w:val="center"/>
              <w:rPr>
                <w:rFonts w:ascii="宋体" w:hAnsi="Times New Roman" w:eastAsia="宋体" w:cs="Times New Roman"/>
                <w:b/>
                <w:kern w:val="0"/>
                <w:sz w:val="24"/>
                <w:szCs w:val="24"/>
              </w:rPr>
            </w:pPr>
            <w:r>
              <w:rPr>
                <w:rFonts w:hint="eastAsia" w:ascii="宋体" w:hAnsi="宋体" w:eastAsia="宋体" w:cs="Times New Roman"/>
                <w:b/>
                <w:kern w:val="0"/>
                <w:sz w:val="24"/>
                <w:szCs w:val="24"/>
              </w:rPr>
              <w:t>主要组件内容</w:t>
            </w:r>
          </w:p>
        </w:tc>
        <w:tc>
          <w:tcPr>
            <w:tcW w:w="741" w:type="pct"/>
          </w:tcPr>
          <w:p>
            <w:pPr>
              <w:widowControl w:val="0"/>
              <w:jc w:val="center"/>
              <w:rPr>
                <w:rFonts w:hint="eastAsia" w:ascii="宋体" w:hAnsi="宋体" w:eastAsia="宋体" w:cs="Times New Roman"/>
                <w:b/>
                <w:kern w:val="0"/>
                <w:sz w:val="24"/>
                <w:szCs w:val="24"/>
                <w:lang w:eastAsia="zh-CN"/>
              </w:rPr>
            </w:pPr>
            <w:r>
              <w:rPr>
                <w:rFonts w:hint="eastAsia" w:ascii="宋体" w:hAnsi="宋体" w:eastAsia="宋体" w:cs="Times New Roman"/>
                <w:b/>
                <w:kern w:val="0"/>
                <w:sz w:val="24"/>
                <w:szCs w:val="24"/>
                <w:lang w:eastAsia="zh-CN"/>
              </w:rPr>
              <w:t>项目占比</w:t>
            </w:r>
          </w:p>
        </w:tc>
        <w:tc>
          <w:tcPr>
            <w:tcW w:w="1120" w:type="pct"/>
          </w:tcPr>
          <w:p>
            <w:pPr>
              <w:widowControl w:val="0"/>
              <w:jc w:val="center"/>
              <w:rPr>
                <w:rFonts w:hint="eastAsia" w:ascii="宋体" w:hAnsi="宋体" w:eastAsia="宋体" w:cs="Times New Roman"/>
                <w:b/>
                <w:kern w:val="0"/>
                <w:sz w:val="24"/>
                <w:szCs w:val="24"/>
                <w:lang w:eastAsia="zh-CN"/>
              </w:rPr>
            </w:pPr>
            <w:r>
              <w:rPr>
                <w:rFonts w:hint="eastAsia" w:ascii="宋体" w:hAnsi="宋体" w:eastAsia="宋体" w:cs="Times New Roman"/>
                <w:b/>
                <w:kern w:val="0"/>
                <w:sz w:val="24"/>
                <w:szCs w:val="24"/>
                <w:lang w:eastAsia="zh-CN"/>
              </w:rPr>
              <w:t>限价（元</w:t>
            </w:r>
            <w:r>
              <w:rPr>
                <w:rFonts w:hint="eastAsia" w:ascii="宋体" w:hAnsi="宋体" w:eastAsia="宋体" w:cs="Times New Roman"/>
                <w:b/>
                <w:kern w:val="0"/>
                <w:sz w:val="24"/>
                <w:szCs w:val="24"/>
                <w:lang w:val="en-US" w:eastAsia="zh-CN"/>
              </w:rPr>
              <w:t>/套</w:t>
            </w:r>
            <w:r>
              <w:rPr>
                <w:rFonts w:hint="eastAsia" w:ascii="宋体" w:hAnsi="宋体" w:eastAsia="宋体" w:cs="Times New Roman"/>
                <w:b/>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Pr>
          <w:p>
            <w:pPr>
              <w:widowControl w:val="0"/>
              <w:jc w:val="center"/>
              <w:rPr>
                <w:rFonts w:ascii="宋体" w:hAnsi="Times New Roman" w:eastAsia="宋体" w:cs="Times New Roman"/>
                <w:kern w:val="0"/>
                <w:sz w:val="24"/>
                <w:szCs w:val="24"/>
              </w:rPr>
            </w:pPr>
            <w:r>
              <w:rPr>
                <w:rFonts w:ascii="宋体" w:hAnsi="宋体" w:eastAsia="宋体" w:cs="Times New Roman"/>
                <w:kern w:val="0"/>
                <w:sz w:val="24"/>
                <w:szCs w:val="24"/>
              </w:rPr>
              <w:t>1</w:t>
            </w:r>
          </w:p>
        </w:tc>
        <w:tc>
          <w:tcPr>
            <w:tcW w:w="2699" w:type="pct"/>
            <w:vAlign w:val="center"/>
          </w:tcPr>
          <w:p>
            <w:pPr>
              <w:widowControl w:val="0"/>
              <w:jc w:val="center"/>
              <w:rPr>
                <w:rFonts w:hint="eastAsia" w:ascii="宋体" w:hAnsi="Times New Roman" w:eastAsia="宋体" w:cs="宋体"/>
                <w:kern w:val="0"/>
                <w:sz w:val="24"/>
                <w:szCs w:val="24"/>
              </w:rPr>
            </w:pPr>
            <w:r>
              <w:rPr>
                <w:rFonts w:hint="eastAsia" w:ascii="Times New Roman" w:hAnsi="Times New Roman" w:eastAsia="宋体" w:cs="Times New Roman"/>
                <w:kern w:val="2"/>
                <w:sz w:val="24"/>
                <w:szCs w:val="24"/>
                <w:lang w:val="en-US" w:eastAsia="zh-CN"/>
              </w:rPr>
              <w:t>一次性使用高压注射器及附件（单筒）</w:t>
            </w:r>
          </w:p>
        </w:tc>
        <w:tc>
          <w:tcPr>
            <w:tcW w:w="741" w:type="pct"/>
            <w:vAlign w:val="center"/>
          </w:tcPr>
          <w:p>
            <w:pPr>
              <w:widowControl w:val="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50%</w:t>
            </w:r>
          </w:p>
        </w:tc>
        <w:tc>
          <w:tcPr>
            <w:tcW w:w="1120" w:type="pct"/>
            <w:vAlign w:val="center"/>
          </w:tcPr>
          <w:p>
            <w:pPr>
              <w:widowControl w:val="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Pr>
          <w:p>
            <w:pPr>
              <w:widowControl w:val="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2</w:t>
            </w:r>
          </w:p>
        </w:tc>
        <w:tc>
          <w:tcPr>
            <w:tcW w:w="2699" w:type="pct"/>
            <w:vAlign w:val="center"/>
          </w:tcPr>
          <w:p>
            <w:pPr>
              <w:widowControl w:val="0"/>
              <w:jc w:val="center"/>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一次性使用高压注射器及附件（双筒）</w:t>
            </w:r>
          </w:p>
        </w:tc>
        <w:tc>
          <w:tcPr>
            <w:tcW w:w="741" w:type="pct"/>
            <w:vAlign w:val="center"/>
          </w:tcPr>
          <w:p>
            <w:pPr>
              <w:widowControl w:val="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50%</w:t>
            </w:r>
          </w:p>
        </w:tc>
        <w:tc>
          <w:tcPr>
            <w:tcW w:w="1120" w:type="pct"/>
            <w:vAlign w:val="center"/>
          </w:tcPr>
          <w:p>
            <w:pPr>
              <w:widowControl w:val="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110</w:t>
            </w:r>
          </w:p>
        </w:tc>
      </w:tr>
    </w:tbl>
    <w:p>
      <w:pPr>
        <w:widowControl w:val="0"/>
        <w:tabs>
          <w:tab w:val="left" w:pos="360"/>
        </w:tabs>
        <w:spacing w:line="360" w:lineRule="auto"/>
        <w:outlineLvl w:val="1"/>
        <w:rPr>
          <w:rFonts w:hint="eastAsia" w:ascii="Times New Roman" w:hAnsi="Times New Roman" w:cs="Times New Roman"/>
          <w:b/>
          <w:bCs/>
          <w:sz w:val="24"/>
          <w:highlight w:val="none"/>
          <w:lang w:val="en-US" w:eastAsia="zh-CN"/>
        </w:rPr>
      </w:pPr>
      <w:r>
        <w:rPr>
          <w:rFonts w:hint="eastAsia" w:ascii="Times New Roman" w:hAnsi="Times New Roman" w:cs="Times New Roman"/>
          <w:b/>
          <w:bCs/>
          <w:sz w:val="24"/>
          <w:highlight w:val="none"/>
          <w:lang w:val="en-US" w:eastAsia="zh-CN"/>
        </w:rPr>
        <w:t>七、投标样品要求</w:t>
      </w:r>
    </w:p>
    <w:p>
      <w:pPr>
        <w:numPr>
          <w:ilvl w:val="0"/>
          <w:numId w:val="0"/>
        </w:num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1、样品应独立包装并密封，并在包装外及产品上标明投标单位名称等相关信息，未提供或提供不全者将在评分中扣除相应得分。</w:t>
      </w:r>
    </w:p>
    <w:p>
      <w:pPr>
        <w:numPr>
          <w:ilvl w:val="0"/>
          <w:numId w:val="0"/>
        </w:numPr>
        <w:spacing w:line="360" w:lineRule="auto"/>
        <w:rPr>
          <w:rFonts w:hint="default"/>
          <w:highlight w:val="none"/>
          <w:lang w:val="en-US" w:eastAsia="zh-CN"/>
        </w:rPr>
      </w:pPr>
      <w:r>
        <w:rPr>
          <w:rFonts w:hint="eastAsia" w:ascii="宋体" w:hAnsi="宋体" w:cs="宋体"/>
          <w:color w:val="auto"/>
          <w:sz w:val="24"/>
          <w:szCs w:val="24"/>
          <w:highlight w:val="none"/>
          <w:lang w:val="en-US" w:eastAsia="zh-CN"/>
        </w:rPr>
        <w:t>2、采购人视情况将对</w:t>
      </w:r>
      <w:r>
        <w:rPr>
          <w:rFonts w:hint="eastAsia" w:cs="宋体"/>
          <w:color w:val="auto"/>
          <w:sz w:val="24"/>
          <w:szCs w:val="24"/>
          <w:highlight w:val="none"/>
          <w:lang w:val="en-US" w:eastAsia="zh-CN"/>
        </w:rPr>
        <w:t>成交</w:t>
      </w:r>
      <w:r>
        <w:rPr>
          <w:rFonts w:hint="eastAsia" w:ascii="宋体" w:hAnsi="宋体" w:cs="宋体"/>
          <w:color w:val="auto"/>
          <w:sz w:val="24"/>
          <w:szCs w:val="24"/>
          <w:highlight w:val="none"/>
          <w:lang w:val="en-US" w:eastAsia="zh-CN"/>
        </w:rPr>
        <w:t>供应商的样品进行封存，作为货物验收的依据。未</w:t>
      </w:r>
      <w:r>
        <w:rPr>
          <w:rFonts w:hint="eastAsia" w:cs="宋体"/>
          <w:color w:val="auto"/>
          <w:sz w:val="24"/>
          <w:szCs w:val="24"/>
          <w:highlight w:val="none"/>
          <w:lang w:val="en-US" w:eastAsia="zh-CN"/>
        </w:rPr>
        <w:t>成交</w:t>
      </w:r>
      <w:r>
        <w:rPr>
          <w:rFonts w:hint="eastAsia" w:ascii="宋体" w:hAnsi="宋体" w:cs="宋体"/>
          <w:color w:val="auto"/>
          <w:sz w:val="24"/>
          <w:szCs w:val="24"/>
          <w:highlight w:val="none"/>
          <w:lang w:val="en-US" w:eastAsia="zh-CN"/>
        </w:rPr>
        <w:t>的样品将会在发布</w:t>
      </w:r>
      <w:r>
        <w:rPr>
          <w:rFonts w:hint="eastAsia" w:cs="宋体"/>
          <w:color w:val="auto"/>
          <w:sz w:val="24"/>
          <w:szCs w:val="24"/>
          <w:highlight w:val="none"/>
          <w:lang w:val="en-US" w:eastAsia="zh-CN"/>
        </w:rPr>
        <w:t>成交</w:t>
      </w:r>
      <w:r>
        <w:rPr>
          <w:rFonts w:hint="eastAsia" w:ascii="宋体" w:hAnsi="宋体" w:cs="宋体"/>
          <w:color w:val="auto"/>
          <w:sz w:val="24"/>
          <w:szCs w:val="24"/>
          <w:highlight w:val="none"/>
          <w:lang w:val="en-US" w:eastAsia="zh-CN"/>
        </w:rPr>
        <w:t>公告后 5 个工作日内通知退还，如接退还通知后投标供应商7天内不领取视为放弃样品，由</w:t>
      </w:r>
      <w:r>
        <w:rPr>
          <w:rFonts w:hint="eastAsia" w:cs="宋体"/>
          <w:color w:val="auto"/>
          <w:sz w:val="24"/>
          <w:szCs w:val="24"/>
          <w:highlight w:val="none"/>
          <w:lang w:val="en-US" w:eastAsia="zh-CN"/>
        </w:rPr>
        <w:t>我院</w:t>
      </w:r>
      <w:r>
        <w:rPr>
          <w:rFonts w:hint="eastAsia" w:ascii="宋体" w:hAnsi="宋体" w:cs="宋体"/>
          <w:color w:val="auto"/>
          <w:sz w:val="24"/>
          <w:szCs w:val="24"/>
          <w:highlight w:val="none"/>
          <w:lang w:val="en-US" w:eastAsia="zh-CN"/>
        </w:rPr>
        <w:t>自行处理。</w:t>
      </w:r>
    </w:p>
    <w:p>
      <w:pPr>
        <w:widowControl w:val="0"/>
        <w:tabs>
          <w:tab w:val="left" w:pos="360"/>
        </w:tabs>
        <w:spacing w:line="360" w:lineRule="auto"/>
        <w:outlineLvl w:val="1"/>
        <w:rPr>
          <w:rFonts w:hint="default" w:ascii="Times New Roman" w:hAnsi="Times New Roman" w:cs="Times New Roman"/>
          <w:b/>
          <w:bCs/>
          <w:sz w:val="24"/>
        </w:rPr>
      </w:pPr>
      <w:r>
        <w:rPr>
          <w:rFonts w:hint="eastAsia" w:ascii="Times New Roman" w:hAnsi="Times New Roman" w:cs="Times New Roman"/>
          <w:b/>
          <w:bCs/>
          <w:sz w:val="24"/>
          <w:lang w:val="en-US" w:eastAsia="zh-CN"/>
        </w:rPr>
        <w:t>八、</w:t>
      </w:r>
      <w:r>
        <w:rPr>
          <w:rFonts w:hint="default" w:ascii="Times New Roman" w:hAnsi="Times New Roman" w:cs="Times New Roman"/>
          <w:b/>
          <w:bCs/>
          <w:sz w:val="24"/>
        </w:rPr>
        <w:t>商务条款：</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★1、应标供应商须承诺对在用高压注射器进行维保（所有相关费用均已包含在耗材报价中）；</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2、同一单项的所有规格型号产品的价格须一致；</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3、保证产品全新、未曾使用过、其质量、规格及技术特征符合国家有关法律规定；</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4、可根据科室具体使用需求调整配置。</w:t>
      </w:r>
    </w:p>
    <w:p>
      <w:pPr>
        <w:pStyle w:val="2"/>
        <w:rPr>
          <w:rFonts w:hint="default"/>
          <w:lang w:val="en-US" w:eastAsia="zh-CN"/>
        </w:rPr>
      </w:pPr>
    </w:p>
    <w:p>
      <w:pPr>
        <w:widowControl w:val="0"/>
        <w:numPr>
          <w:ilvl w:val="0"/>
          <w:numId w:val="4"/>
        </w:numPr>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46308683"/>
      <w:bookmarkStart w:id="47" w:name="_Toc98579609"/>
      <w:bookmarkStart w:id="48" w:name="_Toc37663391"/>
      <w:bookmarkStart w:id="49" w:name="_Toc40762370"/>
      <w:bookmarkStart w:id="50" w:name="_Toc37581420"/>
      <w:bookmarkStart w:id="51" w:name="_Toc37331038"/>
      <w:bookmarkStart w:id="52" w:name="_Toc37569519"/>
      <w:bookmarkStart w:id="53" w:name="_Toc272497412"/>
      <w:bookmarkStart w:id="54" w:name="_Toc98035088"/>
      <w:bookmarkStart w:id="55" w:name="_Toc37331080"/>
      <w:bookmarkStart w:id="56" w:name="_Toc101771371"/>
      <w:bookmarkStart w:id="57" w:name="_Toc46308527"/>
      <w:bookmarkStart w:id="58" w:name="_Toc175644388"/>
      <w:bookmarkStart w:id="59" w:name="_Toc98580292"/>
      <w:bookmarkStart w:id="60" w:name="_Toc101843124"/>
      <w:bookmarkStart w:id="61" w:name="_Toc101775124"/>
      <w:bookmarkStart w:id="62" w:name="_Toc273520767"/>
      <w:bookmarkStart w:id="63" w:name="_Toc37245276"/>
      <w:bookmarkStart w:id="64" w:name="_Toc98579010"/>
      <w:bookmarkStart w:id="65" w:name="_Toc101951257"/>
      <w:bookmarkStart w:id="66" w:name="_Toc98579068"/>
      <w:bookmarkStart w:id="67" w:name="_Toc50276156"/>
      <w:bookmarkStart w:id="68" w:name="_Toc50276195"/>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175644386"/>
      <w:bookmarkStart w:id="70" w:name="_Toc272497409"/>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101771359"/>
      <w:bookmarkStart w:id="73" w:name="_Toc101775112"/>
      <w:bookmarkStart w:id="74" w:name="_Toc101843112"/>
      <w:bookmarkStart w:id="75" w:name="_Toc98579053"/>
      <w:bookmarkStart w:id="76" w:name="_Toc98578995"/>
      <w:bookmarkStart w:id="77" w:name="_Toc42394657"/>
      <w:bookmarkStart w:id="78" w:name="_Toc134956119"/>
      <w:bookmarkStart w:id="79" w:name="_Toc42313155"/>
      <w:bookmarkStart w:id="80" w:name="_Toc98579594"/>
      <w:bookmarkStart w:id="81" w:name="_Toc42394500"/>
      <w:bookmarkStart w:id="82" w:name="_Toc41723917"/>
      <w:bookmarkStart w:id="83" w:name="_Toc50276141"/>
      <w:bookmarkStart w:id="84" w:name="_Toc98580277"/>
      <w:bookmarkStart w:id="85" w:name="_Toc101951245"/>
      <w:bookmarkStart w:id="86" w:name="_Toc41884687"/>
      <w:bookmarkStart w:id="87" w:name="_Toc98580279"/>
      <w:bookmarkStart w:id="88" w:name="_Toc101843113"/>
      <w:bookmarkStart w:id="89" w:name="_Toc101775113"/>
      <w:bookmarkStart w:id="90" w:name="_Toc98579596"/>
      <w:bookmarkStart w:id="91" w:name="_Toc134956120"/>
      <w:bookmarkStart w:id="92" w:name="_Toc98579055"/>
      <w:bookmarkStart w:id="93" w:name="_Toc101771360"/>
      <w:bookmarkStart w:id="94" w:name="_Toc50276143"/>
      <w:bookmarkStart w:id="95" w:name="_Toc101951246"/>
      <w:bookmarkStart w:id="96" w:name="_Toc42394659"/>
      <w:bookmarkStart w:id="97" w:name="_Toc42394502"/>
      <w:bookmarkStart w:id="98" w:name="_Toc42313157"/>
      <w:bookmarkStart w:id="99" w:name="_Toc98578997"/>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42394658"/>
      <w:bookmarkStart w:id="101" w:name="_Toc41884688"/>
      <w:bookmarkStart w:id="102" w:name="_Toc41723918"/>
      <w:bookmarkStart w:id="103" w:name="_Toc101771361"/>
      <w:bookmarkStart w:id="104" w:name="_Toc98578996"/>
      <w:bookmarkStart w:id="105" w:name="_Toc101843114"/>
      <w:bookmarkStart w:id="106" w:name="_Toc134956122"/>
      <w:bookmarkStart w:id="107" w:name="_Toc42394501"/>
      <w:bookmarkStart w:id="108" w:name="_Toc101951247"/>
      <w:bookmarkStart w:id="109" w:name="_Toc50276142"/>
      <w:bookmarkStart w:id="110" w:name="_Toc98579595"/>
      <w:bookmarkStart w:id="111" w:name="_Toc98580278"/>
      <w:bookmarkStart w:id="112" w:name="_Toc98579054"/>
      <w:bookmarkStart w:id="113" w:name="_Toc101775114"/>
      <w:bookmarkStart w:id="114" w:name="_Toc42313156"/>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34956124"/>
      <w:bookmarkStart w:id="116" w:name="_Toc101771362"/>
      <w:bookmarkStart w:id="117" w:name="_Toc272497410"/>
      <w:bookmarkStart w:id="118" w:name="_Toc101843115"/>
      <w:bookmarkStart w:id="119" w:name="_Toc101775115"/>
      <w:bookmarkStart w:id="120" w:name="_Toc101951248"/>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579598"/>
      <w:bookmarkStart w:id="123" w:name="_Toc42394661"/>
      <w:bookmarkStart w:id="124" w:name="_Toc42313159"/>
      <w:bookmarkStart w:id="125" w:name="_Toc46308681"/>
      <w:bookmarkStart w:id="126" w:name="_Toc46308525"/>
      <w:bookmarkStart w:id="127" w:name="_Toc98578999"/>
      <w:bookmarkStart w:id="128" w:name="_Toc41884693"/>
      <w:bookmarkStart w:id="129" w:name="_Toc98579057"/>
      <w:bookmarkStart w:id="130" w:name="_Toc98035086"/>
      <w:bookmarkStart w:id="131" w:name="_Toc101771363"/>
      <w:bookmarkStart w:id="132" w:name="_Toc272497411"/>
      <w:bookmarkStart w:id="133" w:name="_Toc101951249"/>
      <w:bookmarkStart w:id="134" w:name="_Toc41723923"/>
      <w:bookmarkStart w:id="135" w:name="_Toc101775116"/>
      <w:bookmarkStart w:id="136" w:name="_Toc42394504"/>
      <w:bookmarkStart w:id="137" w:name="_Toc50276145"/>
      <w:bookmarkStart w:id="138" w:name="_Toc98580281"/>
      <w:bookmarkStart w:id="139" w:name="_Toc175644387"/>
      <w:bookmarkStart w:id="140" w:name="_Toc101843116"/>
      <w:bookmarkStart w:id="141" w:name="_Toc50276193"/>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98579001"/>
      <w:bookmarkStart w:id="143" w:name="_Toc98580283"/>
      <w:bookmarkStart w:id="144" w:name="_Toc134956127"/>
      <w:bookmarkStart w:id="145" w:name="_Toc41884695"/>
      <w:bookmarkStart w:id="146" w:name="_Toc42394506"/>
      <w:bookmarkStart w:id="147" w:name="_Toc98579600"/>
      <w:bookmarkStart w:id="148" w:name="_Toc101775118"/>
      <w:bookmarkStart w:id="149" w:name="_Toc41723925"/>
      <w:bookmarkStart w:id="150" w:name="_Toc98579059"/>
      <w:bookmarkStart w:id="151" w:name="_Toc101771365"/>
      <w:bookmarkStart w:id="152" w:name="_Toc42313161"/>
      <w:bookmarkStart w:id="153" w:name="_Toc101951251"/>
      <w:bookmarkStart w:id="154" w:name="_Toc42394663"/>
      <w:bookmarkStart w:id="155" w:name="_Toc101843118"/>
      <w:bookmarkStart w:id="156" w:name="_Toc50276147"/>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1366"/>
      <w:bookmarkStart w:id="158" w:name="_Toc101843119"/>
      <w:bookmarkStart w:id="159" w:name="_Toc101775119"/>
      <w:bookmarkStart w:id="160" w:name="_Toc134956128"/>
      <w:bookmarkStart w:id="161" w:name="_Toc101951252"/>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951254"/>
      <w:bookmarkStart w:id="165" w:name="_Toc101775121"/>
      <w:bookmarkStart w:id="166" w:name="_Toc101843121"/>
      <w:bookmarkStart w:id="167" w:name="_Toc134956130"/>
      <w:bookmarkStart w:id="168" w:name="_Toc101771368"/>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41884698"/>
      <w:bookmarkStart w:id="171" w:name="_Toc42394666"/>
      <w:bookmarkStart w:id="172" w:name="_Toc101843123"/>
      <w:bookmarkStart w:id="173" w:name="_Toc42394509"/>
      <w:bookmarkStart w:id="174" w:name="_Toc134956132"/>
      <w:bookmarkStart w:id="175" w:name="_Toc98579004"/>
      <w:bookmarkStart w:id="176" w:name="_Toc101771370"/>
      <w:bookmarkStart w:id="177" w:name="_Toc98580286"/>
      <w:bookmarkStart w:id="178" w:name="_Toc41723928"/>
      <w:bookmarkStart w:id="179" w:name="_Toc98579062"/>
      <w:bookmarkStart w:id="180" w:name="_Toc101951256"/>
      <w:bookmarkStart w:id="181" w:name="_Toc42313164"/>
      <w:bookmarkStart w:id="182" w:name="_Toc50276150"/>
      <w:bookmarkStart w:id="183" w:name="_Toc101775123"/>
      <w:bookmarkStart w:id="184" w:name="_Toc98579603"/>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41884706"/>
      <w:bookmarkStart w:id="187" w:name="_Toc50276165"/>
      <w:bookmarkStart w:id="188" w:name="_Toc42313172"/>
      <w:bookmarkStart w:id="189" w:name="_Toc98579011"/>
      <w:bookmarkStart w:id="190" w:name="_Toc46308531"/>
      <w:bookmarkStart w:id="191" w:name="_Toc50276204"/>
      <w:bookmarkStart w:id="192" w:name="_Toc273520768"/>
      <w:bookmarkStart w:id="193" w:name="_Toc272497418"/>
      <w:bookmarkStart w:id="194" w:name="_Toc42394517"/>
      <w:bookmarkStart w:id="195" w:name="_Toc98035089"/>
      <w:bookmarkStart w:id="196" w:name="_Toc41723936"/>
      <w:bookmarkStart w:id="197" w:name="_Toc101771372"/>
      <w:bookmarkStart w:id="198" w:name="_Toc98579069"/>
      <w:bookmarkStart w:id="199" w:name="_Toc101775125"/>
      <w:bookmarkStart w:id="200" w:name="_Toc101951263"/>
      <w:bookmarkStart w:id="201" w:name="_Toc101843125"/>
      <w:bookmarkStart w:id="202" w:name="_Toc175644394"/>
      <w:bookmarkStart w:id="203" w:name="_Toc46308687"/>
      <w:bookmarkStart w:id="204" w:name="_Toc98580293"/>
      <w:bookmarkStart w:id="205" w:name="_Toc42394673"/>
      <w:bookmarkStart w:id="206" w:name="_Toc98579610"/>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50276166"/>
      <w:bookmarkStart w:id="210" w:name="_Toc273520769"/>
      <w:bookmarkStart w:id="211" w:name="_Toc41723937"/>
      <w:bookmarkStart w:id="212" w:name="_Toc98579070"/>
      <w:bookmarkStart w:id="213" w:name="_Toc101771373"/>
      <w:bookmarkStart w:id="214" w:name="_Toc46308532"/>
      <w:bookmarkStart w:id="215" w:name="_Toc98035087"/>
      <w:bookmarkStart w:id="216" w:name="_Toc46308688"/>
      <w:bookmarkStart w:id="217" w:name="_Toc98580294"/>
      <w:bookmarkStart w:id="218" w:name="_Toc98579063"/>
      <w:bookmarkStart w:id="219" w:name="_Toc98580287"/>
      <w:bookmarkStart w:id="220" w:name="_Toc50276151"/>
      <w:bookmarkStart w:id="221" w:name="_Toc98579005"/>
      <w:bookmarkStart w:id="222" w:name="_Toc41723930"/>
      <w:bookmarkStart w:id="223" w:name="_Toc42313173"/>
      <w:bookmarkStart w:id="224" w:name="_Toc98579611"/>
      <w:bookmarkStart w:id="225" w:name="_Toc175644395"/>
      <w:bookmarkStart w:id="226" w:name="_Toc98035090"/>
      <w:bookmarkStart w:id="227" w:name="_Toc41884700"/>
      <w:bookmarkStart w:id="228" w:name="_Toc42394511"/>
      <w:bookmarkStart w:id="229" w:name="_Toc42394518"/>
      <w:bookmarkStart w:id="230" w:name="_Toc46308682"/>
      <w:bookmarkStart w:id="231" w:name="_Toc98579012"/>
      <w:bookmarkStart w:id="232" w:name="_Toc272497419"/>
      <w:bookmarkStart w:id="233" w:name="_Toc98579604"/>
      <w:bookmarkStart w:id="234" w:name="_Toc41884707"/>
      <w:bookmarkStart w:id="235" w:name="_Toc101951264"/>
      <w:bookmarkStart w:id="236" w:name="_Toc50276194"/>
      <w:bookmarkStart w:id="237" w:name="_Toc42313166"/>
      <w:bookmarkStart w:id="238" w:name="_Toc50276205"/>
      <w:bookmarkStart w:id="239" w:name="_Toc46308526"/>
      <w:bookmarkStart w:id="240" w:name="_Toc101775126"/>
      <w:bookmarkStart w:id="241" w:name="_Toc101843126"/>
      <w:bookmarkStart w:id="242" w:name="_Toc42394674"/>
      <w:bookmarkStart w:id="243" w:name="_Toc42394667"/>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（六）详细评审</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分</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商务评分表（20分）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5</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eastAsia" w:ascii="Times New Roman" w:hAnsi="Times New Roman" w:cs="Times New Roman"/>
                <w:szCs w:val="21"/>
                <w:lang w:val="en-US" w:eastAsia="zh-CN"/>
              </w:rPr>
              <w:t>5</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eastAsia" w:ascii="Times New Roman" w:hAnsi="Times New Roman" w:cs="Times New Roman"/>
                <w:b/>
                <w:bCs/>
                <w:szCs w:val="21"/>
                <w:lang w:val="en-US" w:eastAsia="zh-CN"/>
              </w:rPr>
              <w:t>15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w:t>
      </w:r>
      <w:r>
        <w:rPr>
          <w:rFonts w:hint="eastAsia" w:ascii="Times New Roman" w:hAnsi="Times New Roman" w:cs="Times New Roman"/>
          <w:b/>
          <w:sz w:val="24"/>
          <w:szCs w:val="22"/>
          <w:lang w:val="en-US" w:eastAsia="zh-CN"/>
        </w:rPr>
        <w:t xml:space="preserve"> </w:t>
      </w:r>
      <w:r>
        <w:rPr>
          <w:rFonts w:hint="default" w:ascii="Times New Roman" w:hAnsi="Times New Roman" w:cs="Times New Roman"/>
          <w:b/>
          <w:sz w:val="24"/>
          <w:szCs w:val="22"/>
        </w:rPr>
        <w:t>技术评分表（</w:t>
      </w:r>
      <w:r>
        <w:rPr>
          <w:rFonts w:hint="eastAsia" w:ascii="Times New Roman" w:hAnsi="Times New Roman" w:cs="Times New Roman"/>
          <w:b/>
          <w:sz w:val="24"/>
          <w:szCs w:val="22"/>
          <w:lang w:val="en-US" w:eastAsia="zh-CN"/>
        </w:rPr>
        <w:t>55</w:t>
      </w:r>
      <w:r>
        <w:rPr>
          <w:rFonts w:hint="default" w:ascii="Times New Roman" w:hAnsi="Times New Roman" w:cs="Times New Roman"/>
          <w:b/>
          <w:sz w:val="24"/>
          <w:szCs w:val="22"/>
        </w:rPr>
        <w:t>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3</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3" w:hRule="atLeast"/>
          <w:jc w:val="center"/>
        </w:trPr>
        <w:tc>
          <w:tcPr>
            <w:tcW w:w="754"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2</w:t>
            </w:r>
          </w:p>
        </w:tc>
        <w:tc>
          <w:tcPr>
            <w:tcW w:w="2647"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lang w:eastAsia="zh-Hans"/>
              </w:rPr>
              <w:t>产品的</w:t>
            </w:r>
            <w:r>
              <w:rPr>
                <w:rFonts w:hint="default" w:ascii="Times New Roman" w:hAnsi="Times New Roman" w:cs="Times New Roman"/>
                <w:szCs w:val="21"/>
                <w:highlight w:val="none"/>
              </w:rPr>
              <w:t>技术</w:t>
            </w:r>
            <w:r>
              <w:rPr>
                <w:rFonts w:hint="default" w:ascii="Times New Roman" w:hAnsi="Times New Roman" w:cs="Times New Roman"/>
                <w:szCs w:val="21"/>
                <w:highlight w:val="none"/>
                <w:lang w:eastAsia="zh-Hans"/>
              </w:rPr>
              <w:t>性能水平</w:t>
            </w:r>
          </w:p>
        </w:tc>
        <w:tc>
          <w:tcPr>
            <w:tcW w:w="1075" w:type="dxa"/>
            <w:vAlign w:val="center"/>
          </w:tcPr>
          <w:p>
            <w:pPr>
              <w:snapToGrid w:val="0"/>
              <w:jc w:val="center"/>
              <w:rPr>
                <w:rFonts w:hint="default" w:ascii="Times New Roman" w:hAnsi="Times New Roman" w:cs="Times New Roman"/>
                <w:szCs w:val="21"/>
                <w:highlight w:val="none"/>
                <w:lang w:eastAsia="zh-Hans"/>
              </w:rPr>
            </w:pPr>
            <w:r>
              <w:rPr>
                <w:rFonts w:hint="eastAsia" w:ascii="Times New Roman" w:hAnsi="Times New Roman" w:cs="Times New Roman"/>
                <w:szCs w:val="21"/>
                <w:highlight w:val="none"/>
                <w:lang w:val="en-US" w:eastAsia="zh-CN"/>
              </w:rPr>
              <w:t>30</w:t>
            </w:r>
            <w:r>
              <w:rPr>
                <w:rFonts w:hint="default" w:ascii="Times New Roman" w:hAnsi="Times New Roman" w:cs="Times New Roman"/>
                <w:szCs w:val="21"/>
                <w:highlight w:val="none"/>
              </w:rPr>
              <w:t>分</w:t>
            </w:r>
          </w:p>
        </w:tc>
        <w:tc>
          <w:tcPr>
            <w:tcW w:w="6092" w:type="dxa"/>
            <w:vAlign w:val="center"/>
          </w:tcPr>
          <w:p>
            <w:pP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根据供应商的根据投标文件及投标样品情况进行综合评价：</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技术水平在同类产品中领先，技术成熟性、可靠性强，功能完善，</w:t>
            </w:r>
            <w:r>
              <w:rPr>
                <w:rFonts w:hint="default" w:ascii="Times New Roman" w:hAnsi="Times New Roman" w:cs="Times New Roman"/>
                <w:highlight w:val="none"/>
                <w:lang w:val="en-US" w:eastAsia="zh-CN"/>
              </w:rPr>
              <w:t>样品质量优，总体</w:t>
            </w:r>
            <w:r>
              <w:rPr>
                <w:rFonts w:hint="default" w:ascii="Times New Roman" w:hAnsi="Times New Roman" w:cs="Times New Roman"/>
                <w:highlight w:val="none"/>
              </w:rPr>
              <w:t>明显优于同类产品，得</w:t>
            </w:r>
            <w:r>
              <w:rPr>
                <w:rFonts w:hint="default" w:ascii="Times New Roman" w:hAnsi="Times New Roman" w:cs="Times New Roman"/>
                <w:highlight w:val="none"/>
                <w:lang w:val="en-US" w:eastAsia="zh-CN"/>
              </w:rPr>
              <w:t>30</w:t>
            </w:r>
            <w:r>
              <w:rPr>
                <w:rFonts w:hint="default" w:ascii="Times New Roman" w:hAnsi="Times New Roman" w:cs="Times New Roman"/>
                <w:highlight w:val="none"/>
              </w:rPr>
              <w:t>分；</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技术水平在同类产品中属于较先进，技术成熟性、可靠性较强，功能较完善，</w:t>
            </w:r>
            <w:r>
              <w:rPr>
                <w:rFonts w:hint="default" w:ascii="Times New Roman" w:hAnsi="Times New Roman" w:cs="Times New Roman"/>
                <w:highlight w:val="none"/>
                <w:lang w:val="en-US" w:eastAsia="zh-CN"/>
              </w:rPr>
              <w:t>样品质量较好，</w:t>
            </w:r>
            <w:r>
              <w:rPr>
                <w:rFonts w:hint="default" w:ascii="Times New Roman" w:hAnsi="Times New Roman" w:cs="Times New Roman"/>
                <w:highlight w:val="none"/>
              </w:rPr>
              <w:t>得</w:t>
            </w:r>
            <w:r>
              <w:rPr>
                <w:rFonts w:hint="default" w:ascii="Times New Roman" w:hAnsi="Times New Roman" w:cs="Times New Roman"/>
                <w:highlight w:val="none"/>
                <w:lang w:val="en-US" w:eastAsia="zh-CN"/>
              </w:rPr>
              <w:t>20</w:t>
            </w:r>
            <w:r>
              <w:rPr>
                <w:rFonts w:hint="default" w:ascii="Times New Roman" w:hAnsi="Times New Roman" w:cs="Times New Roman"/>
                <w:highlight w:val="none"/>
              </w:rPr>
              <w:t>分；</w:t>
            </w:r>
          </w:p>
          <w:p>
            <w:pPr>
              <w:snapToGrid w:val="0"/>
              <w:rPr>
                <w:rFonts w:hint="default" w:ascii="Times New Roman" w:hAnsi="Times New Roman" w:cs="Times New Roman"/>
                <w:highlight w:val="none"/>
                <w:lang w:eastAsia="zh-CN"/>
              </w:rPr>
            </w:pPr>
            <w:r>
              <w:rPr>
                <w:rFonts w:hint="default" w:ascii="Times New Roman" w:hAnsi="Times New Roman" w:cs="Times New Roman"/>
                <w:highlight w:val="none"/>
              </w:rPr>
              <w:t>技术水平在同类产品中一般，技术成熟性、可靠性、功能完善程度一般，</w:t>
            </w:r>
            <w:r>
              <w:rPr>
                <w:rFonts w:hint="default" w:ascii="Times New Roman" w:hAnsi="Times New Roman" w:cs="Times New Roman"/>
                <w:highlight w:val="none"/>
                <w:lang w:val="en-US" w:eastAsia="zh-CN"/>
              </w:rPr>
              <w:t>样品质量较一般，</w:t>
            </w:r>
            <w:r>
              <w:rPr>
                <w:rFonts w:hint="default" w:ascii="Times New Roman" w:hAnsi="Times New Roman" w:cs="Times New Roman"/>
                <w:highlight w:val="none"/>
              </w:rPr>
              <w:t>得</w:t>
            </w:r>
            <w:r>
              <w:rPr>
                <w:rFonts w:hint="default" w:ascii="Times New Roman" w:hAnsi="Times New Roman" w:cs="Times New Roman"/>
                <w:highlight w:val="none"/>
                <w:lang w:val="en-US" w:eastAsia="zh-CN"/>
              </w:rPr>
              <w:t>10</w:t>
            </w:r>
            <w:r>
              <w:rPr>
                <w:rFonts w:hint="default" w:ascii="Times New Roman" w:hAnsi="Times New Roman" w:cs="Times New Roman"/>
                <w:highlight w:val="none"/>
              </w:rPr>
              <w:t>分</w:t>
            </w:r>
            <w:r>
              <w:rPr>
                <w:rFonts w:hint="default" w:ascii="Times New Roman" w:hAnsi="Times New Roman" w:cs="Times New Roman"/>
                <w:highlight w:val="none"/>
                <w:lang w:eastAsia="zh-CN"/>
              </w:rPr>
              <w:t>；</w:t>
            </w:r>
          </w:p>
          <w:p>
            <w:pPr>
              <w:snapToGrid w:val="0"/>
              <w:rPr>
                <w:rFonts w:hint="default" w:ascii="Times New Roman" w:hAnsi="Times New Roman" w:eastAsia="宋体" w:cs="Times New Roman"/>
                <w:highlight w:val="none"/>
                <w:lang w:eastAsia="zh-CN"/>
              </w:rPr>
            </w:pPr>
            <w:r>
              <w:rPr>
                <w:rFonts w:hint="default" w:ascii="Times New Roman" w:hAnsi="Times New Roman" w:cs="Times New Roman"/>
                <w:highlight w:val="none"/>
              </w:rPr>
              <w:t>技术水平在同类产品中较落后，技术成熟性、可靠性、功能完善程度较差，</w:t>
            </w:r>
            <w:r>
              <w:rPr>
                <w:rFonts w:hint="default" w:ascii="Times New Roman" w:hAnsi="Times New Roman" w:cs="Times New Roman"/>
                <w:highlight w:val="none"/>
                <w:lang w:val="en-US" w:eastAsia="zh-CN"/>
              </w:rPr>
              <w:t>样品质量差，</w:t>
            </w:r>
            <w:r>
              <w:rPr>
                <w:rFonts w:hint="default" w:ascii="Times New Roman" w:hAnsi="Times New Roman" w:cs="Times New Roman"/>
                <w:highlight w:val="none"/>
              </w:rPr>
              <w:t>得1分</w:t>
            </w:r>
            <w:r>
              <w:rPr>
                <w:rFonts w:hint="default" w:ascii="Times New Roman" w:hAnsi="Times New Roman" w:cs="Times New Roman"/>
                <w:highlight w:val="none"/>
                <w:lang w:eastAsia="zh-CN"/>
              </w:rPr>
              <w:t>；</w:t>
            </w:r>
          </w:p>
          <w:p>
            <w:pPr>
              <w:pStyle w:val="2"/>
              <w:ind w:left="0" w:leftChars="0" w:firstLine="0" w:firstLineChars="0"/>
              <w:rPr>
                <w:rFonts w:hint="default" w:eastAsia="宋体"/>
                <w:highlight w:val="none"/>
                <w:lang w:val="en-US" w:eastAsia="zh-CN"/>
              </w:rPr>
            </w:pPr>
            <w:r>
              <w:rPr>
                <w:rFonts w:hint="default" w:ascii="Times New Roman" w:hAnsi="Times New Roman" w:cs="Times New Roman"/>
                <w:highlight w:val="none"/>
                <w:lang w:val="en-US" w:eastAsia="zh-CN"/>
              </w:rPr>
              <w:t>未提供样品或样品提供不全</w:t>
            </w:r>
            <w:r>
              <w:rPr>
                <w:rFonts w:hint="eastAsia" w:ascii="Times New Roman" w:hAnsi="Times New Roman" w:cs="Times New Roman"/>
                <w:highlight w:val="none"/>
                <w:lang w:val="en-US" w:eastAsia="zh-CN"/>
              </w:rPr>
              <w:t>的</w:t>
            </w:r>
            <w:r>
              <w:rPr>
                <w:rFonts w:hint="default" w:ascii="Times New Roman" w:hAnsi="Times New Roman" w:cs="Times New Roman"/>
                <w:highlight w:val="none"/>
                <w:lang w:val="en-US" w:eastAsia="zh-CN"/>
              </w:rPr>
              <w:t>，得0分。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3" w:hRule="atLeast"/>
          <w:jc w:val="center"/>
        </w:trPr>
        <w:tc>
          <w:tcPr>
            <w:tcW w:w="754" w:type="dxa"/>
            <w:vAlign w:val="center"/>
          </w:tcPr>
          <w:p>
            <w:pPr>
              <w:jc w:val="center"/>
              <w:rPr>
                <w:rFonts w:hint="eastAsia"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2647" w:type="dxa"/>
            <w:vAlign w:val="center"/>
          </w:tcPr>
          <w:p>
            <w:pPr>
              <w:snapToGrid w:val="0"/>
              <w:jc w:val="center"/>
              <w:rPr>
                <w:rFonts w:hint="default" w:ascii="Times New Roman" w:hAnsi="Times New Roman" w:eastAsia="宋体" w:cs="Times New Roman"/>
                <w:bCs/>
                <w:sz w:val="21"/>
                <w:szCs w:val="21"/>
                <w:lang w:val="en-US" w:eastAsia="zh-Hans" w:bidi="ar-SA"/>
              </w:rPr>
            </w:pPr>
            <w:r>
              <w:rPr>
                <w:rFonts w:hint="eastAsia" w:ascii="Times New Roman" w:hAnsi="Times New Roman" w:cs="Times New Roman"/>
                <w:bCs/>
                <w:szCs w:val="21"/>
                <w:lang w:val="en-US" w:eastAsia="zh-CN"/>
              </w:rPr>
              <w:t>耗材交易平台截图</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3分</w:t>
            </w:r>
          </w:p>
        </w:tc>
        <w:tc>
          <w:tcPr>
            <w:tcW w:w="6092" w:type="dxa"/>
            <w:vAlign w:val="center"/>
          </w:tcPr>
          <w:p>
            <w:pPr>
              <w:widowControl w:val="0"/>
              <w:snapToGrid w:val="0"/>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投标人</w:t>
            </w:r>
            <w:r>
              <w:rPr>
                <w:rFonts w:hint="default" w:ascii="Times New Roman" w:hAnsi="Times New Roman" w:cs="Times New Roman"/>
                <w:szCs w:val="21"/>
              </w:rPr>
              <w:t>所投产品为广东省或广州市医用耗材交易平台挂网交易品种（提供产品ID码在广东省或广州市药品交易平台截图）</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得3分，否则得0分。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4</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9</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9</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3</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w:t>
            </w:r>
            <w:r>
              <w:rPr>
                <w:rFonts w:hint="eastAsia" w:ascii="Times New Roman" w:hAnsi="Times New Roman" w:cs="Times New Roman"/>
                <w:szCs w:val="21"/>
                <w:lang w:val="en-US" w:eastAsia="zh-CN"/>
              </w:rPr>
              <w:t>3</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eastAsia" w:ascii="Times New Roman" w:hAnsi="Times New Roman" w:cs="Times New Roman"/>
                <w:b/>
                <w:bCs/>
                <w:szCs w:val="21"/>
                <w:lang w:val="en-US" w:eastAsia="zh-CN"/>
              </w:rPr>
              <w:t>55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rPr>
                <w:rFonts w:hint="default" w:ascii="Times New Roman" w:hAnsi="Times New Roman" w:cs="Times New Roman"/>
              </w:rPr>
            </w:pPr>
            <w:r>
              <w:rPr>
                <w:rFonts w:hint="default" w:ascii="Times New Roman" w:hAnsi="Times New Roman" w:cs="Times New Roman"/>
              </w:rPr>
              <w:t>1.采用低价优先法计算，即每个包中某一种货物满足采购文件要求（通过资格性审查和符合性审查）且价格最低的评审价(指经价格修正后的最后报价，下同)为评审基准价。</w:t>
            </w:r>
          </w:p>
          <w:p>
            <w:pPr>
              <w:spacing w:line="360" w:lineRule="auto"/>
              <w:rPr>
                <w:rFonts w:hint="default" w:ascii="Times New Roman" w:hAnsi="Times New Roman" w:cs="Times New Roman"/>
              </w:rPr>
            </w:pPr>
            <w:r>
              <w:rPr>
                <w:rFonts w:hint="default" w:ascii="Times New Roman" w:hAnsi="Times New Roman" w:cs="Times New Roman"/>
              </w:rPr>
              <w:t>2.若投标人所投包中有i种货物，每种货物在该包中的占比为p</w:t>
            </w:r>
            <w:r>
              <w:rPr>
                <w:rFonts w:hint="default" w:ascii="Times New Roman" w:hAnsi="Times New Roman" w:cs="Times New Roman"/>
                <w:vertAlign w:val="subscript"/>
              </w:rPr>
              <w:t>i</w:t>
            </w:r>
            <w:r>
              <w:rPr>
                <w:rFonts w:hint="default" w:ascii="Times New Roman" w:hAnsi="Times New Roman" w:cs="Times New Roman"/>
              </w:rPr>
              <w:t>，则投标人的价格分统一按照下列公式计算：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default" w:ascii="Times New Roman" w:hAnsi="Times New Roman" w:cs="Times New Roman"/>
                <w:b/>
                <w:bCs/>
                <w:color w:val="auto"/>
                <w:kern w:val="0"/>
                <w:lang w:val="en-US" w:eastAsia="zh-CN"/>
              </w:rPr>
              <w:t>评分=[(</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1</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2</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(评审基准价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/评审价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)×p</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eastAsia="zh-CN"/>
              </w:rPr>
              <w:t>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22027"/>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867"/>
      <w:bookmarkStart w:id="248" w:name="_Toc17931"/>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5"/>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5"/>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288816844"/>
      <w:bookmarkStart w:id="250" w:name="_Toc184350415"/>
      <w:bookmarkStart w:id="251" w:name="_Toc170638928"/>
      <w:bookmarkStart w:id="252" w:name="_Toc222999730"/>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2.6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7</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5.4耗材交易平台截图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70638932"/>
      <w:bookmarkStart w:id="254" w:name="_Toc222999731"/>
      <w:bookmarkStart w:id="255" w:name="_Toc288816845"/>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有依法缴纳税收和社会保障资金的良好记录；（提供2022年度或近半年来任意一个月的缴纳税收凭证和缴纳社保凭证，如依法免税或依法免缴社保的，应提供相应文件证明其依法免税或免缴社保）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具有良好的商业信誉和健全的财务会计制度；（提供2022年度或近半年来任意一个月的财务状况报表复印件或银行出具的资信证明材料复印件）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88816850"/>
      <w:bookmarkStart w:id="258" w:name="_Toc170638931"/>
      <w:bookmarkStart w:id="259" w:name="_Toc222999736"/>
      <w:bookmarkStart w:id="260" w:name="_Toc184350421"/>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184350424"/>
      <w:bookmarkStart w:id="262" w:name="_Toc222999739"/>
      <w:bookmarkStart w:id="263" w:name="_Toc288816852"/>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184350425"/>
      <w:bookmarkStart w:id="265" w:name="_Toc288816853"/>
      <w:bookmarkStart w:id="266" w:name="_Toc222999740"/>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72615841"/>
      <w:bookmarkStart w:id="268" w:name="_Toc269301026"/>
      <w:bookmarkStart w:id="269" w:name="_Toc261269415"/>
      <w:bookmarkStart w:id="270" w:name="_Toc195675482"/>
      <w:bookmarkStart w:id="271" w:name="_Toc198976406"/>
      <w:bookmarkStart w:id="272" w:name="_Toc198977321"/>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3537"/>
      <w:bookmarkStart w:id="274" w:name="_Toc17222"/>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359AC"/>
    <w:multiLevelType w:val="singleLevel"/>
    <w:tmpl w:val="A53359AC"/>
    <w:lvl w:ilvl="0" w:tentative="0">
      <w:start w:val="3"/>
      <w:numFmt w:val="decimal"/>
      <w:suff w:val="nothing"/>
      <w:lvlText w:val="%1、"/>
      <w:lvlJc w:val="left"/>
    </w:lvl>
  </w:abstractNum>
  <w:abstractNum w:abstractNumId="1">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3">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5EDB"/>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67D64"/>
    <w:rsid w:val="01F1152A"/>
    <w:rsid w:val="01F83118"/>
    <w:rsid w:val="02135991"/>
    <w:rsid w:val="021F321E"/>
    <w:rsid w:val="02285B30"/>
    <w:rsid w:val="023348DD"/>
    <w:rsid w:val="02502F0E"/>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41A457B"/>
    <w:rsid w:val="043B66F4"/>
    <w:rsid w:val="04427FB6"/>
    <w:rsid w:val="04433D46"/>
    <w:rsid w:val="04494BC1"/>
    <w:rsid w:val="04725C9F"/>
    <w:rsid w:val="047F7F93"/>
    <w:rsid w:val="04912B7A"/>
    <w:rsid w:val="04DB027D"/>
    <w:rsid w:val="04DD3F64"/>
    <w:rsid w:val="04E624B0"/>
    <w:rsid w:val="04E81847"/>
    <w:rsid w:val="04ED6A6C"/>
    <w:rsid w:val="04FC261F"/>
    <w:rsid w:val="050D2150"/>
    <w:rsid w:val="052408B7"/>
    <w:rsid w:val="05445D91"/>
    <w:rsid w:val="05776F97"/>
    <w:rsid w:val="057B44A6"/>
    <w:rsid w:val="059F1690"/>
    <w:rsid w:val="05B61CC7"/>
    <w:rsid w:val="05BE7563"/>
    <w:rsid w:val="05DD56CB"/>
    <w:rsid w:val="05DE4F0E"/>
    <w:rsid w:val="05F9124B"/>
    <w:rsid w:val="060E7758"/>
    <w:rsid w:val="062D4C0E"/>
    <w:rsid w:val="065534C4"/>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F2755"/>
    <w:rsid w:val="077B46FA"/>
    <w:rsid w:val="077F5F15"/>
    <w:rsid w:val="078D194A"/>
    <w:rsid w:val="079948CC"/>
    <w:rsid w:val="07A96115"/>
    <w:rsid w:val="07B72CBE"/>
    <w:rsid w:val="07EA1276"/>
    <w:rsid w:val="08073A6B"/>
    <w:rsid w:val="08206E6C"/>
    <w:rsid w:val="082E2AAA"/>
    <w:rsid w:val="085E0188"/>
    <w:rsid w:val="089D268D"/>
    <w:rsid w:val="08A67E1D"/>
    <w:rsid w:val="08DD4014"/>
    <w:rsid w:val="08E174F2"/>
    <w:rsid w:val="08E24649"/>
    <w:rsid w:val="08E77572"/>
    <w:rsid w:val="09044B9E"/>
    <w:rsid w:val="092116D5"/>
    <w:rsid w:val="093F0D77"/>
    <w:rsid w:val="094D11D8"/>
    <w:rsid w:val="09567C43"/>
    <w:rsid w:val="095E3F41"/>
    <w:rsid w:val="096C1EBE"/>
    <w:rsid w:val="099F531B"/>
    <w:rsid w:val="09A11A04"/>
    <w:rsid w:val="09AA6E7E"/>
    <w:rsid w:val="09AD7CF5"/>
    <w:rsid w:val="09B038CF"/>
    <w:rsid w:val="09BB7B58"/>
    <w:rsid w:val="09D42C57"/>
    <w:rsid w:val="09D77353"/>
    <w:rsid w:val="09F66BCF"/>
    <w:rsid w:val="09F73CC2"/>
    <w:rsid w:val="09FC1C7B"/>
    <w:rsid w:val="09FF76A4"/>
    <w:rsid w:val="0A154603"/>
    <w:rsid w:val="0A3C237F"/>
    <w:rsid w:val="0A3F640F"/>
    <w:rsid w:val="0A830430"/>
    <w:rsid w:val="0A8C5C27"/>
    <w:rsid w:val="0A9618FF"/>
    <w:rsid w:val="0A9658A4"/>
    <w:rsid w:val="0AB06F57"/>
    <w:rsid w:val="0AB62189"/>
    <w:rsid w:val="0AC95C51"/>
    <w:rsid w:val="0AF9372D"/>
    <w:rsid w:val="0B154A89"/>
    <w:rsid w:val="0B17045D"/>
    <w:rsid w:val="0B1D13D6"/>
    <w:rsid w:val="0B480F4F"/>
    <w:rsid w:val="0B4A69E0"/>
    <w:rsid w:val="0B555B84"/>
    <w:rsid w:val="0B6E5847"/>
    <w:rsid w:val="0B847701"/>
    <w:rsid w:val="0B8E5735"/>
    <w:rsid w:val="0B946ED4"/>
    <w:rsid w:val="0B9D5FF7"/>
    <w:rsid w:val="0BAC5465"/>
    <w:rsid w:val="0BCB21A8"/>
    <w:rsid w:val="0BD15F10"/>
    <w:rsid w:val="0BD25FEC"/>
    <w:rsid w:val="0BF01B56"/>
    <w:rsid w:val="0BFA2ED8"/>
    <w:rsid w:val="0C047361"/>
    <w:rsid w:val="0C0A0C3E"/>
    <w:rsid w:val="0C2B6A2C"/>
    <w:rsid w:val="0C314475"/>
    <w:rsid w:val="0C581A52"/>
    <w:rsid w:val="0C632544"/>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3E056E"/>
    <w:rsid w:val="0E4A4418"/>
    <w:rsid w:val="0E541AD5"/>
    <w:rsid w:val="0E602CE3"/>
    <w:rsid w:val="0E7F29CE"/>
    <w:rsid w:val="0E8339A3"/>
    <w:rsid w:val="0E9B548B"/>
    <w:rsid w:val="0EB024E3"/>
    <w:rsid w:val="0ECC09EB"/>
    <w:rsid w:val="0EDC15AB"/>
    <w:rsid w:val="0EDC4DEA"/>
    <w:rsid w:val="0EDF6A0D"/>
    <w:rsid w:val="0EE72827"/>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9943D5"/>
    <w:rsid w:val="10AC760C"/>
    <w:rsid w:val="10BB1B47"/>
    <w:rsid w:val="10DB0A45"/>
    <w:rsid w:val="10F2313C"/>
    <w:rsid w:val="11152D62"/>
    <w:rsid w:val="11473D2B"/>
    <w:rsid w:val="114D3157"/>
    <w:rsid w:val="116C3C10"/>
    <w:rsid w:val="11914C92"/>
    <w:rsid w:val="11B1116A"/>
    <w:rsid w:val="11BC790D"/>
    <w:rsid w:val="11CD7C8E"/>
    <w:rsid w:val="11F9554D"/>
    <w:rsid w:val="12112984"/>
    <w:rsid w:val="12174C74"/>
    <w:rsid w:val="1218482D"/>
    <w:rsid w:val="12281056"/>
    <w:rsid w:val="12417063"/>
    <w:rsid w:val="126112C5"/>
    <w:rsid w:val="1265607B"/>
    <w:rsid w:val="128D5A53"/>
    <w:rsid w:val="12900868"/>
    <w:rsid w:val="129640D0"/>
    <w:rsid w:val="12C20480"/>
    <w:rsid w:val="12C41EB9"/>
    <w:rsid w:val="12C64B6E"/>
    <w:rsid w:val="12E82BDE"/>
    <w:rsid w:val="13593449"/>
    <w:rsid w:val="135B349F"/>
    <w:rsid w:val="139300ED"/>
    <w:rsid w:val="13A10458"/>
    <w:rsid w:val="13A4511F"/>
    <w:rsid w:val="13C34CE4"/>
    <w:rsid w:val="13CE3AA2"/>
    <w:rsid w:val="13CF471A"/>
    <w:rsid w:val="13CF798A"/>
    <w:rsid w:val="13E04C36"/>
    <w:rsid w:val="13F2695B"/>
    <w:rsid w:val="140C0030"/>
    <w:rsid w:val="145A78CB"/>
    <w:rsid w:val="149C4372"/>
    <w:rsid w:val="149F48FC"/>
    <w:rsid w:val="14E93C90"/>
    <w:rsid w:val="14F079CB"/>
    <w:rsid w:val="14F5027A"/>
    <w:rsid w:val="14F521EE"/>
    <w:rsid w:val="14F96328"/>
    <w:rsid w:val="15004FD1"/>
    <w:rsid w:val="150216CA"/>
    <w:rsid w:val="151246B2"/>
    <w:rsid w:val="1522323E"/>
    <w:rsid w:val="15272F5B"/>
    <w:rsid w:val="1534668C"/>
    <w:rsid w:val="15702CA1"/>
    <w:rsid w:val="157911B7"/>
    <w:rsid w:val="15876FAB"/>
    <w:rsid w:val="15A16E9F"/>
    <w:rsid w:val="15A678B0"/>
    <w:rsid w:val="15BC767B"/>
    <w:rsid w:val="15C814D9"/>
    <w:rsid w:val="15DA037C"/>
    <w:rsid w:val="15E636BF"/>
    <w:rsid w:val="15F03103"/>
    <w:rsid w:val="16080BCA"/>
    <w:rsid w:val="160C304E"/>
    <w:rsid w:val="16124A4D"/>
    <w:rsid w:val="165B5CC8"/>
    <w:rsid w:val="16617A7A"/>
    <w:rsid w:val="166502D7"/>
    <w:rsid w:val="16656400"/>
    <w:rsid w:val="16777D74"/>
    <w:rsid w:val="16783BF5"/>
    <w:rsid w:val="168314AA"/>
    <w:rsid w:val="168F67CD"/>
    <w:rsid w:val="168F7E15"/>
    <w:rsid w:val="16A202A1"/>
    <w:rsid w:val="16A538DE"/>
    <w:rsid w:val="16AE078E"/>
    <w:rsid w:val="16BA3209"/>
    <w:rsid w:val="16BF278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A1514"/>
    <w:rsid w:val="193E12B5"/>
    <w:rsid w:val="195B5AFE"/>
    <w:rsid w:val="196340DB"/>
    <w:rsid w:val="196B1EC8"/>
    <w:rsid w:val="19744A3F"/>
    <w:rsid w:val="19A71564"/>
    <w:rsid w:val="19D621EC"/>
    <w:rsid w:val="1A027A32"/>
    <w:rsid w:val="1A294650"/>
    <w:rsid w:val="1A2B1DE9"/>
    <w:rsid w:val="1A2C7293"/>
    <w:rsid w:val="1A343F0B"/>
    <w:rsid w:val="1A34680A"/>
    <w:rsid w:val="1A430526"/>
    <w:rsid w:val="1A4D32E0"/>
    <w:rsid w:val="1A4D73F8"/>
    <w:rsid w:val="1A714613"/>
    <w:rsid w:val="1A72670B"/>
    <w:rsid w:val="1AA263D3"/>
    <w:rsid w:val="1AA324B9"/>
    <w:rsid w:val="1AA52DFA"/>
    <w:rsid w:val="1ABC066A"/>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CF20A7A"/>
    <w:rsid w:val="1D0230E6"/>
    <w:rsid w:val="1D1C585C"/>
    <w:rsid w:val="1D2456EF"/>
    <w:rsid w:val="1D2F058A"/>
    <w:rsid w:val="1D553CA9"/>
    <w:rsid w:val="1D58026D"/>
    <w:rsid w:val="1D6A426C"/>
    <w:rsid w:val="1D6C20B3"/>
    <w:rsid w:val="1D715F99"/>
    <w:rsid w:val="1D7422F7"/>
    <w:rsid w:val="1DB35C44"/>
    <w:rsid w:val="1DBB07FC"/>
    <w:rsid w:val="1DC60736"/>
    <w:rsid w:val="1DDB5161"/>
    <w:rsid w:val="1E05210A"/>
    <w:rsid w:val="1E1D7051"/>
    <w:rsid w:val="1E3C7A71"/>
    <w:rsid w:val="1E516FF1"/>
    <w:rsid w:val="1E5D2BB1"/>
    <w:rsid w:val="1E5E049D"/>
    <w:rsid w:val="1E686CB2"/>
    <w:rsid w:val="1E867E85"/>
    <w:rsid w:val="1EA74224"/>
    <w:rsid w:val="1EC762D3"/>
    <w:rsid w:val="1ECF088C"/>
    <w:rsid w:val="1ED77FD5"/>
    <w:rsid w:val="1EF141C7"/>
    <w:rsid w:val="1F0A4C39"/>
    <w:rsid w:val="1F252606"/>
    <w:rsid w:val="1F300BA5"/>
    <w:rsid w:val="1F3847D1"/>
    <w:rsid w:val="1F3E0F22"/>
    <w:rsid w:val="1F5467B2"/>
    <w:rsid w:val="1F6C2ED6"/>
    <w:rsid w:val="1F914DD6"/>
    <w:rsid w:val="1F960A3B"/>
    <w:rsid w:val="1FAC0562"/>
    <w:rsid w:val="1FAD52F3"/>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E49D1"/>
    <w:rsid w:val="22885B46"/>
    <w:rsid w:val="22E3622B"/>
    <w:rsid w:val="22ED6014"/>
    <w:rsid w:val="23077531"/>
    <w:rsid w:val="231058BB"/>
    <w:rsid w:val="231934F3"/>
    <w:rsid w:val="23417BBB"/>
    <w:rsid w:val="23504B8C"/>
    <w:rsid w:val="236D1BFA"/>
    <w:rsid w:val="237B74B4"/>
    <w:rsid w:val="23806EB9"/>
    <w:rsid w:val="23840D72"/>
    <w:rsid w:val="23926D18"/>
    <w:rsid w:val="23980AFE"/>
    <w:rsid w:val="23BF3FA0"/>
    <w:rsid w:val="23C545A2"/>
    <w:rsid w:val="23CA32E2"/>
    <w:rsid w:val="23F55D7A"/>
    <w:rsid w:val="241C0E05"/>
    <w:rsid w:val="2425761F"/>
    <w:rsid w:val="2428332B"/>
    <w:rsid w:val="24504274"/>
    <w:rsid w:val="245B20CD"/>
    <w:rsid w:val="24975F5A"/>
    <w:rsid w:val="249F5530"/>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73E29"/>
    <w:rsid w:val="25CD5458"/>
    <w:rsid w:val="25DE592C"/>
    <w:rsid w:val="25F16070"/>
    <w:rsid w:val="25F85CB1"/>
    <w:rsid w:val="261C03C5"/>
    <w:rsid w:val="26211093"/>
    <w:rsid w:val="262250F4"/>
    <w:rsid w:val="26481121"/>
    <w:rsid w:val="26892276"/>
    <w:rsid w:val="268A2662"/>
    <w:rsid w:val="268D403F"/>
    <w:rsid w:val="26995E67"/>
    <w:rsid w:val="26A52F27"/>
    <w:rsid w:val="26A535DF"/>
    <w:rsid w:val="26AD7D18"/>
    <w:rsid w:val="26BF3371"/>
    <w:rsid w:val="26E817B9"/>
    <w:rsid w:val="26E91ED0"/>
    <w:rsid w:val="26F07EA7"/>
    <w:rsid w:val="26F155C2"/>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FD2EA9"/>
    <w:rsid w:val="28FE58E6"/>
    <w:rsid w:val="29193A1F"/>
    <w:rsid w:val="292124ED"/>
    <w:rsid w:val="292B748B"/>
    <w:rsid w:val="2931411A"/>
    <w:rsid w:val="29580E4F"/>
    <w:rsid w:val="296206D7"/>
    <w:rsid w:val="296C7141"/>
    <w:rsid w:val="29D13AC0"/>
    <w:rsid w:val="29DD6A42"/>
    <w:rsid w:val="29FA2F97"/>
    <w:rsid w:val="2A290F86"/>
    <w:rsid w:val="2A3B77AC"/>
    <w:rsid w:val="2A407B28"/>
    <w:rsid w:val="2A642238"/>
    <w:rsid w:val="2A6709B9"/>
    <w:rsid w:val="2A8710A0"/>
    <w:rsid w:val="2A9D784C"/>
    <w:rsid w:val="2AA244FE"/>
    <w:rsid w:val="2AE66E2A"/>
    <w:rsid w:val="2AE67BD1"/>
    <w:rsid w:val="2B1C7AFB"/>
    <w:rsid w:val="2B4D1F64"/>
    <w:rsid w:val="2B62129A"/>
    <w:rsid w:val="2BB73659"/>
    <w:rsid w:val="2BC50AD2"/>
    <w:rsid w:val="2BC7010A"/>
    <w:rsid w:val="2BDD5393"/>
    <w:rsid w:val="2BDF49C4"/>
    <w:rsid w:val="2BDF7583"/>
    <w:rsid w:val="2BF17017"/>
    <w:rsid w:val="2C021E12"/>
    <w:rsid w:val="2C0941F1"/>
    <w:rsid w:val="2C096CFD"/>
    <w:rsid w:val="2C0B1110"/>
    <w:rsid w:val="2C464194"/>
    <w:rsid w:val="2C5E6BF0"/>
    <w:rsid w:val="2C621B48"/>
    <w:rsid w:val="2C830608"/>
    <w:rsid w:val="2C855BF6"/>
    <w:rsid w:val="2C856EA5"/>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626998"/>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7A1330"/>
    <w:rsid w:val="308E0FA5"/>
    <w:rsid w:val="30B6272D"/>
    <w:rsid w:val="30C51343"/>
    <w:rsid w:val="30C951D1"/>
    <w:rsid w:val="30CC6302"/>
    <w:rsid w:val="30E36D0E"/>
    <w:rsid w:val="30EA054C"/>
    <w:rsid w:val="30ED7C43"/>
    <w:rsid w:val="31370283"/>
    <w:rsid w:val="31380F18"/>
    <w:rsid w:val="317B549F"/>
    <w:rsid w:val="317E55ED"/>
    <w:rsid w:val="318D72F0"/>
    <w:rsid w:val="31967922"/>
    <w:rsid w:val="319C586E"/>
    <w:rsid w:val="31A53B4F"/>
    <w:rsid w:val="31B22DEF"/>
    <w:rsid w:val="31CF56DA"/>
    <w:rsid w:val="31D77157"/>
    <w:rsid w:val="31EB6263"/>
    <w:rsid w:val="31F35108"/>
    <w:rsid w:val="32132CFD"/>
    <w:rsid w:val="32281EE3"/>
    <w:rsid w:val="3229018A"/>
    <w:rsid w:val="32473AFE"/>
    <w:rsid w:val="3253462A"/>
    <w:rsid w:val="32BB5A40"/>
    <w:rsid w:val="32BE1E2F"/>
    <w:rsid w:val="32CD775C"/>
    <w:rsid w:val="32DB6B93"/>
    <w:rsid w:val="32DC4E11"/>
    <w:rsid w:val="32E4437C"/>
    <w:rsid w:val="33145DEE"/>
    <w:rsid w:val="33244D99"/>
    <w:rsid w:val="33350B70"/>
    <w:rsid w:val="337A46FB"/>
    <w:rsid w:val="33B273BE"/>
    <w:rsid w:val="33BE5DEB"/>
    <w:rsid w:val="33C5283A"/>
    <w:rsid w:val="33E21912"/>
    <w:rsid w:val="342174AA"/>
    <w:rsid w:val="34484DA9"/>
    <w:rsid w:val="34532758"/>
    <w:rsid w:val="34572A8E"/>
    <w:rsid w:val="34A6668E"/>
    <w:rsid w:val="34B10469"/>
    <w:rsid w:val="34B85185"/>
    <w:rsid w:val="34BE5776"/>
    <w:rsid w:val="34C85EC1"/>
    <w:rsid w:val="34D22F25"/>
    <w:rsid w:val="34D50259"/>
    <w:rsid w:val="34F16AD7"/>
    <w:rsid w:val="34FB2E31"/>
    <w:rsid w:val="350D68C5"/>
    <w:rsid w:val="3530301D"/>
    <w:rsid w:val="35337105"/>
    <w:rsid w:val="353C0D8D"/>
    <w:rsid w:val="35445D63"/>
    <w:rsid w:val="35537F74"/>
    <w:rsid w:val="35597970"/>
    <w:rsid w:val="35692E94"/>
    <w:rsid w:val="358E10AC"/>
    <w:rsid w:val="3598068C"/>
    <w:rsid w:val="35C11EB8"/>
    <w:rsid w:val="35C33049"/>
    <w:rsid w:val="35C47D09"/>
    <w:rsid w:val="35CC5E55"/>
    <w:rsid w:val="35EA7654"/>
    <w:rsid w:val="36174C78"/>
    <w:rsid w:val="36277E12"/>
    <w:rsid w:val="36313CBD"/>
    <w:rsid w:val="363C6AD8"/>
    <w:rsid w:val="363F4665"/>
    <w:rsid w:val="364A03CB"/>
    <w:rsid w:val="36637EBD"/>
    <w:rsid w:val="367869AD"/>
    <w:rsid w:val="368B6DA9"/>
    <w:rsid w:val="36C73422"/>
    <w:rsid w:val="36E5716E"/>
    <w:rsid w:val="376608D5"/>
    <w:rsid w:val="3781684D"/>
    <w:rsid w:val="378B7D5F"/>
    <w:rsid w:val="379420B2"/>
    <w:rsid w:val="379967FB"/>
    <w:rsid w:val="37A22F20"/>
    <w:rsid w:val="37A91A37"/>
    <w:rsid w:val="37B74D70"/>
    <w:rsid w:val="37B92CEF"/>
    <w:rsid w:val="37BD7920"/>
    <w:rsid w:val="37BF6F12"/>
    <w:rsid w:val="37D67340"/>
    <w:rsid w:val="37EA7BDA"/>
    <w:rsid w:val="37ED1549"/>
    <w:rsid w:val="37FD5995"/>
    <w:rsid w:val="38074965"/>
    <w:rsid w:val="38113817"/>
    <w:rsid w:val="3845086A"/>
    <w:rsid w:val="384A31C5"/>
    <w:rsid w:val="3880204F"/>
    <w:rsid w:val="388A1731"/>
    <w:rsid w:val="389A083E"/>
    <w:rsid w:val="38A74DA6"/>
    <w:rsid w:val="38A8368C"/>
    <w:rsid w:val="38A85222"/>
    <w:rsid w:val="38A854FC"/>
    <w:rsid w:val="38AB33D7"/>
    <w:rsid w:val="38AC3603"/>
    <w:rsid w:val="38BD1258"/>
    <w:rsid w:val="38E24112"/>
    <w:rsid w:val="38E52D5F"/>
    <w:rsid w:val="3905258A"/>
    <w:rsid w:val="392532CB"/>
    <w:rsid w:val="39266EC9"/>
    <w:rsid w:val="39417165"/>
    <w:rsid w:val="394878A5"/>
    <w:rsid w:val="394B14A7"/>
    <w:rsid w:val="394F2D2E"/>
    <w:rsid w:val="395E72BB"/>
    <w:rsid w:val="396F0582"/>
    <w:rsid w:val="3975274D"/>
    <w:rsid w:val="398A5A5C"/>
    <w:rsid w:val="39C45CFA"/>
    <w:rsid w:val="39D14324"/>
    <w:rsid w:val="39F3242E"/>
    <w:rsid w:val="3A060472"/>
    <w:rsid w:val="3A0C4528"/>
    <w:rsid w:val="3A2B774E"/>
    <w:rsid w:val="3A435413"/>
    <w:rsid w:val="3A480EAE"/>
    <w:rsid w:val="3A5D368A"/>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756C86"/>
    <w:rsid w:val="3B853E61"/>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54A8F"/>
    <w:rsid w:val="3E4FC850"/>
    <w:rsid w:val="3E574B80"/>
    <w:rsid w:val="3E7C0510"/>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49082A"/>
    <w:rsid w:val="405938AD"/>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31DD1"/>
    <w:rsid w:val="4194565B"/>
    <w:rsid w:val="41955F48"/>
    <w:rsid w:val="41A83B60"/>
    <w:rsid w:val="41AD781B"/>
    <w:rsid w:val="41C0241B"/>
    <w:rsid w:val="41C419EA"/>
    <w:rsid w:val="41C45707"/>
    <w:rsid w:val="41CE6434"/>
    <w:rsid w:val="41D07DB8"/>
    <w:rsid w:val="41D76445"/>
    <w:rsid w:val="41EC62E1"/>
    <w:rsid w:val="42212F8E"/>
    <w:rsid w:val="423B4AFE"/>
    <w:rsid w:val="42510D4A"/>
    <w:rsid w:val="42514AB8"/>
    <w:rsid w:val="42735D20"/>
    <w:rsid w:val="428173EA"/>
    <w:rsid w:val="42822DF0"/>
    <w:rsid w:val="4288243A"/>
    <w:rsid w:val="42A06F64"/>
    <w:rsid w:val="42B3679A"/>
    <w:rsid w:val="42C149C8"/>
    <w:rsid w:val="42C6663B"/>
    <w:rsid w:val="42C76BBF"/>
    <w:rsid w:val="42CA34B9"/>
    <w:rsid w:val="42D6329C"/>
    <w:rsid w:val="42EB2047"/>
    <w:rsid w:val="42FF24B2"/>
    <w:rsid w:val="42FF7027"/>
    <w:rsid w:val="43196865"/>
    <w:rsid w:val="43241A79"/>
    <w:rsid w:val="43284084"/>
    <w:rsid w:val="43463AB7"/>
    <w:rsid w:val="436E4277"/>
    <w:rsid w:val="43D718B1"/>
    <w:rsid w:val="43D9067E"/>
    <w:rsid w:val="44007B93"/>
    <w:rsid w:val="4441017D"/>
    <w:rsid w:val="44415AE8"/>
    <w:rsid w:val="44436463"/>
    <w:rsid w:val="44460956"/>
    <w:rsid w:val="444D6C8F"/>
    <w:rsid w:val="44A270C7"/>
    <w:rsid w:val="44C21A98"/>
    <w:rsid w:val="44CD7C24"/>
    <w:rsid w:val="44EE148C"/>
    <w:rsid w:val="45350976"/>
    <w:rsid w:val="45562683"/>
    <w:rsid w:val="455C5936"/>
    <w:rsid w:val="4571540A"/>
    <w:rsid w:val="45844228"/>
    <w:rsid w:val="458806BF"/>
    <w:rsid w:val="461A0DF1"/>
    <w:rsid w:val="461D1AEB"/>
    <w:rsid w:val="465D5BE5"/>
    <w:rsid w:val="4669263D"/>
    <w:rsid w:val="46907094"/>
    <w:rsid w:val="46BE6754"/>
    <w:rsid w:val="46C17A4D"/>
    <w:rsid w:val="46C737C5"/>
    <w:rsid w:val="46E70B2F"/>
    <w:rsid w:val="46F52372"/>
    <w:rsid w:val="46FA1036"/>
    <w:rsid w:val="47091C2E"/>
    <w:rsid w:val="470C6E4F"/>
    <w:rsid w:val="471C6990"/>
    <w:rsid w:val="472431CC"/>
    <w:rsid w:val="472A09D8"/>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044A10"/>
    <w:rsid w:val="4B0B3BEF"/>
    <w:rsid w:val="4B143D78"/>
    <w:rsid w:val="4B266D89"/>
    <w:rsid w:val="4B383656"/>
    <w:rsid w:val="4B396378"/>
    <w:rsid w:val="4B434D9D"/>
    <w:rsid w:val="4B451300"/>
    <w:rsid w:val="4B682903"/>
    <w:rsid w:val="4B781AB0"/>
    <w:rsid w:val="4B954A5D"/>
    <w:rsid w:val="4BC845F8"/>
    <w:rsid w:val="4BDD3213"/>
    <w:rsid w:val="4BDE1FDE"/>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7913B9"/>
    <w:rsid w:val="4D864524"/>
    <w:rsid w:val="4D871BF8"/>
    <w:rsid w:val="4D99326C"/>
    <w:rsid w:val="4DAF38EC"/>
    <w:rsid w:val="4DDD767C"/>
    <w:rsid w:val="4DE417FD"/>
    <w:rsid w:val="4DED14AD"/>
    <w:rsid w:val="4E0852DF"/>
    <w:rsid w:val="4E0A250A"/>
    <w:rsid w:val="4E1130C3"/>
    <w:rsid w:val="4E2D44F0"/>
    <w:rsid w:val="4E630653"/>
    <w:rsid w:val="4E7E01E2"/>
    <w:rsid w:val="4E9C205D"/>
    <w:rsid w:val="4EB90C6B"/>
    <w:rsid w:val="4EF12B0F"/>
    <w:rsid w:val="4EF24E07"/>
    <w:rsid w:val="4EF9349D"/>
    <w:rsid w:val="4F15613B"/>
    <w:rsid w:val="4F1756F1"/>
    <w:rsid w:val="4F4F32A9"/>
    <w:rsid w:val="4FA315EF"/>
    <w:rsid w:val="4FBD0A84"/>
    <w:rsid w:val="4FD0310D"/>
    <w:rsid w:val="4FE3408F"/>
    <w:rsid w:val="4FFE6856"/>
    <w:rsid w:val="500E45B4"/>
    <w:rsid w:val="50130F4E"/>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A0464"/>
    <w:rsid w:val="523F1355"/>
    <w:rsid w:val="524573D7"/>
    <w:rsid w:val="52463847"/>
    <w:rsid w:val="525E1398"/>
    <w:rsid w:val="52801BEC"/>
    <w:rsid w:val="52936801"/>
    <w:rsid w:val="52A564D0"/>
    <w:rsid w:val="52F87654"/>
    <w:rsid w:val="53152702"/>
    <w:rsid w:val="532E33A7"/>
    <w:rsid w:val="533206B0"/>
    <w:rsid w:val="533A46C2"/>
    <w:rsid w:val="5352113B"/>
    <w:rsid w:val="53532D9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23E4D"/>
    <w:rsid w:val="556456C9"/>
    <w:rsid w:val="556F4A72"/>
    <w:rsid w:val="557A0DC6"/>
    <w:rsid w:val="559765F2"/>
    <w:rsid w:val="55A958F0"/>
    <w:rsid w:val="55AD668B"/>
    <w:rsid w:val="55D03A48"/>
    <w:rsid w:val="55D45383"/>
    <w:rsid w:val="55E85277"/>
    <w:rsid w:val="55F92C54"/>
    <w:rsid w:val="55FF2337"/>
    <w:rsid w:val="561B362E"/>
    <w:rsid w:val="56426528"/>
    <w:rsid w:val="564A08C7"/>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D62E77"/>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B246FF"/>
    <w:rsid w:val="59B37862"/>
    <w:rsid w:val="59CC52AE"/>
    <w:rsid w:val="59CD34D6"/>
    <w:rsid w:val="59E35B77"/>
    <w:rsid w:val="59EC0D23"/>
    <w:rsid w:val="5A0B12D9"/>
    <w:rsid w:val="5A113DE3"/>
    <w:rsid w:val="5A290EBA"/>
    <w:rsid w:val="5A3E2596"/>
    <w:rsid w:val="5A533AA6"/>
    <w:rsid w:val="5A726629"/>
    <w:rsid w:val="5A727722"/>
    <w:rsid w:val="5A854AA3"/>
    <w:rsid w:val="5A890262"/>
    <w:rsid w:val="5A8F23EC"/>
    <w:rsid w:val="5AC16D89"/>
    <w:rsid w:val="5ACE7C9A"/>
    <w:rsid w:val="5ADA3D96"/>
    <w:rsid w:val="5AE9319E"/>
    <w:rsid w:val="5AF60C13"/>
    <w:rsid w:val="5B2167CB"/>
    <w:rsid w:val="5B3F6E07"/>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66422"/>
    <w:rsid w:val="5D2F0C37"/>
    <w:rsid w:val="5D335E99"/>
    <w:rsid w:val="5D436289"/>
    <w:rsid w:val="5D6656D9"/>
    <w:rsid w:val="5DAC39EB"/>
    <w:rsid w:val="5DB572C5"/>
    <w:rsid w:val="5DCB6271"/>
    <w:rsid w:val="5E06379B"/>
    <w:rsid w:val="5E1542E7"/>
    <w:rsid w:val="5E2433EB"/>
    <w:rsid w:val="5E2E711E"/>
    <w:rsid w:val="5E2F6629"/>
    <w:rsid w:val="5E305AC4"/>
    <w:rsid w:val="5E315223"/>
    <w:rsid w:val="5E354E37"/>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2F6681"/>
    <w:rsid w:val="60406349"/>
    <w:rsid w:val="608B60F8"/>
    <w:rsid w:val="60994CF4"/>
    <w:rsid w:val="60BB6B20"/>
    <w:rsid w:val="60BD3579"/>
    <w:rsid w:val="60D164CF"/>
    <w:rsid w:val="60F17132"/>
    <w:rsid w:val="61177633"/>
    <w:rsid w:val="61796113"/>
    <w:rsid w:val="619A46DA"/>
    <w:rsid w:val="619D21BD"/>
    <w:rsid w:val="61B56FAF"/>
    <w:rsid w:val="61EE1D8C"/>
    <w:rsid w:val="61EE4E3C"/>
    <w:rsid w:val="61F64CB5"/>
    <w:rsid w:val="62010D28"/>
    <w:rsid w:val="62212650"/>
    <w:rsid w:val="626E6907"/>
    <w:rsid w:val="62AA07B3"/>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3F46FA"/>
    <w:rsid w:val="646C40F1"/>
    <w:rsid w:val="64A66DCA"/>
    <w:rsid w:val="64BC4849"/>
    <w:rsid w:val="64DD6FB5"/>
    <w:rsid w:val="64EB1809"/>
    <w:rsid w:val="650C1A6E"/>
    <w:rsid w:val="651801A7"/>
    <w:rsid w:val="653552AA"/>
    <w:rsid w:val="65510BF3"/>
    <w:rsid w:val="655D02D3"/>
    <w:rsid w:val="65627BEE"/>
    <w:rsid w:val="657D67FD"/>
    <w:rsid w:val="65AD5D5E"/>
    <w:rsid w:val="65B77CE7"/>
    <w:rsid w:val="65E16938"/>
    <w:rsid w:val="65FC2BAF"/>
    <w:rsid w:val="66122830"/>
    <w:rsid w:val="66703B34"/>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3E2CA8"/>
    <w:rsid w:val="68A61E00"/>
    <w:rsid w:val="68C23C3C"/>
    <w:rsid w:val="68DF39AC"/>
    <w:rsid w:val="68DF4D2C"/>
    <w:rsid w:val="69205643"/>
    <w:rsid w:val="69335374"/>
    <w:rsid w:val="695151A5"/>
    <w:rsid w:val="69535E08"/>
    <w:rsid w:val="696B6E7D"/>
    <w:rsid w:val="697E5367"/>
    <w:rsid w:val="69845667"/>
    <w:rsid w:val="699927B1"/>
    <w:rsid w:val="69D03C28"/>
    <w:rsid w:val="69F06D14"/>
    <w:rsid w:val="69F97029"/>
    <w:rsid w:val="6A0871BF"/>
    <w:rsid w:val="6A137757"/>
    <w:rsid w:val="6A1A606C"/>
    <w:rsid w:val="6A257111"/>
    <w:rsid w:val="6A3E504A"/>
    <w:rsid w:val="6A450E04"/>
    <w:rsid w:val="6A6C3D1D"/>
    <w:rsid w:val="6A790A5E"/>
    <w:rsid w:val="6A9D6120"/>
    <w:rsid w:val="6AAF44C2"/>
    <w:rsid w:val="6AC635B8"/>
    <w:rsid w:val="6AE9176C"/>
    <w:rsid w:val="6B1D548D"/>
    <w:rsid w:val="6B224F0A"/>
    <w:rsid w:val="6B360FCF"/>
    <w:rsid w:val="6B3D425E"/>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9713ED"/>
    <w:rsid w:val="6C9959F5"/>
    <w:rsid w:val="6CCE6662"/>
    <w:rsid w:val="6CDB1E3A"/>
    <w:rsid w:val="6CFB6B24"/>
    <w:rsid w:val="6D110438"/>
    <w:rsid w:val="6D14179D"/>
    <w:rsid w:val="6D3339B7"/>
    <w:rsid w:val="6D441C96"/>
    <w:rsid w:val="6D48591E"/>
    <w:rsid w:val="6D7E52C4"/>
    <w:rsid w:val="6DA30BC5"/>
    <w:rsid w:val="6DC707F6"/>
    <w:rsid w:val="6DC90658"/>
    <w:rsid w:val="6DD211E5"/>
    <w:rsid w:val="6DD558CF"/>
    <w:rsid w:val="6DE23B6F"/>
    <w:rsid w:val="6E157274"/>
    <w:rsid w:val="6E21480E"/>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33426"/>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6266A"/>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6A08DE"/>
    <w:rsid w:val="72721CF9"/>
    <w:rsid w:val="727F1CE2"/>
    <w:rsid w:val="7284454B"/>
    <w:rsid w:val="72A33D23"/>
    <w:rsid w:val="72A356EE"/>
    <w:rsid w:val="72AB6929"/>
    <w:rsid w:val="72AF4501"/>
    <w:rsid w:val="72C0431D"/>
    <w:rsid w:val="72C4086E"/>
    <w:rsid w:val="72F80654"/>
    <w:rsid w:val="72FC523A"/>
    <w:rsid w:val="7312292F"/>
    <w:rsid w:val="731B338D"/>
    <w:rsid w:val="735219A8"/>
    <w:rsid w:val="737E683C"/>
    <w:rsid w:val="737F30F8"/>
    <w:rsid w:val="739B1EE4"/>
    <w:rsid w:val="739D659A"/>
    <w:rsid w:val="739F35C3"/>
    <w:rsid w:val="73AC5041"/>
    <w:rsid w:val="73D37118"/>
    <w:rsid w:val="73FB201B"/>
    <w:rsid w:val="73FB661B"/>
    <w:rsid w:val="74043864"/>
    <w:rsid w:val="742055DD"/>
    <w:rsid w:val="743565CD"/>
    <w:rsid w:val="744A1799"/>
    <w:rsid w:val="7453624E"/>
    <w:rsid w:val="74620CA0"/>
    <w:rsid w:val="746B47F2"/>
    <w:rsid w:val="74997ADC"/>
    <w:rsid w:val="74CC260D"/>
    <w:rsid w:val="74E20E12"/>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6A17BE"/>
    <w:rsid w:val="76821440"/>
    <w:rsid w:val="769516F3"/>
    <w:rsid w:val="76A43F77"/>
    <w:rsid w:val="76C13132"/>
    <w:rsid w:val="76F24A2F"/>
    <w:rsid w:val="770C076C"/>
    <w:rsid w:val="77156C7D"/>
    <w:rsid w:val="77210FB6"/>
    <w:rsid w:val="77220D3E"/>
    <w:rsid w:val="7726646F"/>
    <w:rsid w:val="772954CD"/>
    <w:rsid w:val="7741030C"/>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20483A"/>
    <w:rsid w:val="79271856"/>
    <w:rsid w:val="792C1D77"/>
    <w:rsid w:val="7930284F"/>
    <w:rsid w:val="79507236"/>
    <w:rsid w:val="7957032D"/>
    <w:rsid w:val="795F7F33"/>
    <w:rsid w:val="797C22F6"/>
    <w:rsid w:val="797E7356"/>
    <w:rsid w:val="79871202"/>
    <w:rsid w:val="79906EB0"/>
    <w:rsid w:val="799908D3"/>
    <w:rsid w:val="79A76C08"/>
    <w:rsid w:val="79AB7C77"/>
    <w:rsid w:val="79EA370A"/>
    <w:rsid w:val="7A0B5AB9"/>
    <w:rsid w:val="7A432634"/>
    <w:rsid w:val="7A7F202D"/>
    <w:rsid w:val="7A832C16"/>
    <w:rsid w:val="7A950E80"/>
    <w:rsid w:val="7A96704E"/>
    <w:rsid w:val="7AAE1548"/>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45E4F"/>
    <w:rsid w:val="7BBC68DC"/>
    <w:rsid w:val="7BC52343"/>
    <w:rsid w:val="7BD14E0A"/>
    <w:rsid w:val="7BD44066"/>
    <w:rsid w:val="7BD70728"/>
    <w:rsid w:val="7BE40C73"/>
    <w:rsid w:val="7BED5CAE"/>
    <w:rsid w:val="7C032675"/>
    <w:rsid w:val="7C045E50"/>
    <w:rsid w:val="7C0D6823"/>
    <w:rsid w:val="7C1F6621"/>
    <w:rsid w:val="7C4B734F"/>
    <w:rsid w:val="7C570ABF"/>
    <w:rsid w:val="7C586697"/>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EF2705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4</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2023-03-17T02:59:22Z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