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28"/>
          <w:szCs w:val="21"/>
          <w:lang w:val="en-US" w:eastAsia="zh-CN"/>
        </w:rPr>
      </w:pPr>
      <w:r>
        <w:rPr>
          <w:rFonts w:hint="eastAsia"/>
          <w:b/>
          <w:bCs/>
          <w:sz w:val="28"/>
          <w:szCs w:val="21"/>
          <w:lang w:val="en-US" w:eastAsia="zh-CN"/>
        </w:rPr>
        <w:t>UPS主机采购需求</w:t>
      </w:r>
    </w:p>
    <w:p>
      <w:pPr>
        <w:numPr>
          <w:ilvl w:val="0"/>
          <w:numId w:val="0"/>
        </w:numPr>
        <w:rPr>
          <w:rFonts w:hint="eastAsia"/>
          <w:lang w:val="en-US" w:eastAsia="zh-CN"/>
        </w:rPr>
      </w:pPr>
      <w:r>
        <w:rPr>
          <w:rFonts w:hint="eastAsia"/>
          <w:b/>
          <w:bCs/>
          <w:lang w:val="en-US" w:eastAsia="zh-CN"/>
        </w:rPr>
        <w:t>一、</w:t>
      </w:r>
      <w:r>
        <w:rPr>
          <w:rFonts w:hint="eastAsia"/>
          <w:b/>
          <w:bCs/>
          <w:lang w:val="en-US" w:eastAsia="zh-CN"/>
        </w:rPr>
        <w:t>采购标的</w:t>
      </w:r>
      <w:r>
        <w:rPr>
          <w:rFonts w:hint="eastAsia"/>
          <w:lang w:val="en-US" w:eastAsia="zh-CN"/>
        </w:rPr>
        <w:t>：10KVA主机2台，20KVA主机1台</w:t>
      </w:r>
    </w:p>
    <w:p>
      <w:pPr>
        <w:numPr>
          <w:ilvl w:val="0"/>
          <w:numId w:val="0"/>
        </w:numPr>
        <w:rPr>
          <w:rFonts w:hint="eastAsia"/>
          <w:lang w:val="en-US" w:eastAsia="zh-CN"/>
        </w:rPr>
      </w:pPr>
    </w:p>
    <w:p>
      <w:pPr>
        <w:numPr>
          <w:ilvl w:val="0"/>
          <w:numId w:val="0"/>
        </w:numPr>
        <w:rPr>
          <w:rFonts w:hint="default"/>
          <w:lang w:val="en-US" w:eastAsia="zh-CN"/>
        </w:rPr>
      </w:pPr>
      <w:r>
        <w:rPr>
          <w:rFonts w:hint="eastAsia"/>
          <w:b/>
          <w:bCs/>
          <w:lang w:val="en-US" w:eastAsia="zh-CN"/>
        </w:rPr>
        <w:t>二、</w:t>
      </w:r>
      <w:r>
        <w:rPr>
          <w:rFonts w:hint="eastAsia"/>
          <w:b/>
          <w:bCs/>
          <w:lang w:val="en-US" w:eastAsia="zh-CN"/>
        </w:rPr>
        <w:t>采购总预算</w:t>
      </w:r>
      <w:r>
        <w:rPr>
          <w:rFonts w:hint="eastAsia"/>
          <w:lang w:val="en-US" w:eastAsia="zh-CN"/>
        </w:rPr>
        <w:t>：3.3万元</w:t>
      </w:r>
    </w:p>
    <w:p>
      <w:pPr>
        <w:numPr>
          <w:ilvl w:val="0"/>
          <w:numId w:val="0"/>
        </w:numPr>
        <w:rPr>
          <w:rFonts w:hint="eastAsia"/>
          <w:lang w:val="en-US" w:eastAsia="zh-CN"/>
        </w:rPr>
      </w:pPr>
    </w:p>
    <w:p>
      <w:pPr>
        <w:numPr>
          <w:ilvl w:val="0"/>
          <w:numId w:val="0"/>
        </w:numPr>
        <w:rPr>
          <w:rFonts w:hint="eastAsia"/>
          <w:b/>
          <w:bCs/>
          <w:lang w:val="en-US" w:eastAsia="zh-CN"/>
        </w:rPr>
      </w:pPr>
      <w:r>
        <w:rPr>
          <w:rFonts w:hint="eastAsia"/>
          <w:b/>
          <w:bCs/>
          <w:lang w:val="en-US" w:eastAsia="zh-CN"/>
        </w:rPr>
        <w:t>三、</w:t>
      </w:r>
      <w:r>
        <w:rPr>
          <w:rFonts w:hint="eastAsia"/>
          <w:b/>
          <w:bCs/>
          <w:lang w:val="en-US" w:eastAsia="zh-CN"/>
        </w:rPr>
        <w:t>技术要求</w:t>
      </w:r>
    </w:p>
    <w:p>
      <w:pPr>
        <w:numPr>
          <w:ilvl w:val="0"/>
          <w:numId w:val="0"/>
        </w:numPr>
        <w:rPr>
          <w:rFonts w:hint="eastAsia"/>
          <w:b/>
          <w:bCs/>
          <w:lang w:val="en-US" w:eastAsia="zh-CN"/>
        </w:rPr>
      </w:pPr>
      <w:r>
        <w:rPr>
          <w:rFonts w:hint="eastAsia"/>
          <w:lang w:val="en-US" w:eastAsia="zh-CN"/>
        </w:rPr>
        <w:t>（一）</w:t>
      </w:r>
      <w:r>
        <w:rPr>
          <w:rFonts w:hint="eastAsia"/>
          <w:b/>
          <w:bCs/>
          <w:lang w:val="en-US" w:eastAsia="zh-CN"/>
        </w:rPr>
        <w:t>10K UPS</w:t>
      </w:r>
    </w:p>
    <w:p>
      <w:pPr>
        <w:widowControl w:val="0"/>
        <w:numPr>
          <w:ilvl w:val="0"/>
          <w:numId w:val="1"/>
        </w:numPr>
        <w:tabs>
          <w:tab w:val="left" w:pos="420"/>
        </w:tabs>
        <w:jc w:val="both"/>
        <w:rPr>
          <w:szCs w:val="22"/>
        </w:rPr>
      </w:pPr>
      <w:r>
        <w:rPr>
          <w:rFonts w:hint="eastAsia"/>
          <w:szCs w:val="22"/>
        </w:rPr>
        <w:t>额定容量</w:t>
      </w:r>
      <w:r>
        <w:rPr>
          <w:rFonts w:hint="eastAsia" w:ascii="宋体" w:hAnsi="宋体"/>
          <w:szCs w:val="22"/>
        </w:rPr>
        <w:t>≧</w:t>
      </w:r>
      <w:r>
        <w:rPr>
          <w:rFonts w:hint="eastAsia"/>
          <w:szCs w:val="22"/>
        </w:rPr>
        <w:t>10KVA；</w:t>
      </w:r>
    </w:p>
    <w:p>
      <w:pPr>
        <w:widowControl w:val="0"/>
        <w:numPr>
          <w:ilvl w:val="0"/>
          <w:numId w:val="1"/>
        </w:numPr>
        <w:tabs>
          <w:tab w:val="left" w:pos="420"/>
        </w:tabs>
        <w:jc w:val="both"/>
        <w:rPr>
          <w:szCs w:val="22"/>
        </w:rPr>
      </w:pPr>
      <w:r>
        <w:rPr>
          <w:rFonts w:hint="eastAsia"/>
          <w:szCs w:val="22"/>
        </w:rPr>
        <w:t>输入电压范围：110V～300Vac；提供彩页证明</w:t>
      </w:r>
      <w:r>
        <w:rPr>
          <w:rFonts w:hint="eastAsia"/>
          <w:szCs w:val="22"/>
          <w:lang w:eastAsia="zh-CN"/>
        </w:rPr>
        <w:t>；</w:t>
      </w:r>
    </w:p>
    <w:p>
      <w:pPr>
        <w:widowControl w:val="0"/>
        <w:numPr>
          <w:ilvl w:val="0"/>
          <w:numId w:val="1"/>
        </w:numPr>
        <w:tabs>
          <w:tab w:val="left" w:pos="420"/>
        </w:tabs>
        <w:jc w:val="both"/>
        <w:rPr>
          <w:szCs w:val="22"/>
        </w:rPr>
      </w:pPr>
      <w:r>
        <w:rPr>
          <w:rFonts w:hint="eastAsia"/>
          <w:szCs w:val="22"/>
        </w:rPr>
        <w:t>输入功率因素≥0.99，市电：整机效率&gt;93%；</w:t>
      </w:r>
    </w:p>
    <w:p>
      <w:pPr>
        <w:widowControl w:val="0"/>
        <w:numPr>
          <w:ilvl w:val="0"/>
          <w:numId w:val="1"/>
        </w:numPr>
        <w:tabs>
          <w:tab w:val="left" w:pos="420"/>
        </w:tabs>
        <w:jc w:val="both"/>
        <w:rPr>
          <w:szCs w:val="22"/>
        </w:rPr>
      </w:pPr>
      <w:r>
        <w:rPr>
          <w:rFonts w:hint="eastAsia"/>
          <w:szCs w:val="22"/>
        </w:rPr>
        <w:t>输出电压为额定208/220/230/240VAC；</w:t>
      </w:r>
    </w:p>
    <w:p>
      <w:pPr>
        <w:widowControl w:val="0"/>
        <w:numPr>
          <w:ilvl w:val="0"/>
          <w:numId w:val="1"/>
        </w:numPr>
        <w:tabs>
          <w:tab w:val="left" w:pos="420"/>
        </w:tabs>
        <w:jc w:val="both"/>
        <w:rPr>
          <w:szCs w:val="22"/>
        </w:rPr>
      </w:pPr>
      <w:r>
        <w:rPr>
          <w:rFonts w:hint="eastAsia"/>
          <w:szCs w:val="22"/>
        </w:rPr>
        <w:t>输出谐波失真：≤3%(线性负载)，≤5%（非线性负载）</w:t>
      </w:r>
    </w:p>
    <w:p>
      <w:pPr>
        <w:widowControl w:val="0"/>
        <w:numPr>
          <w:ilvl w:val="0"/>
          <w:numId w:val="1"/>
        </w:numPr>
        <w:tabs>
          <w:tab w:val="left" w:pos="420"/>
        </w:tabs>
        <w:jc w:val="both"/>
        <w:rPr>
          <w:szCs w:val="22"/>
        </w:rPr>
      </w:pPr>
      <w:r>
        <w:rPr>
          <w:rFonts w:hint="eastAsia"/>
          <w:szCs w:val="22"/>
        </w:rPr>
        <w:t>电压稳定度：±1%（静态）；±2%（典型）；</w:t>
      </w:r>
    </w:p>
    <w:p>
      <w:pPr>
        <w:widowControl w:val="0"/>
        <w:numPr>
          <w:ilvl w:val="0"/>
          <w:numId w:val="1"/>
        </w:numPr>
        <w:tabs>
          <w:tab w:val="left" w:pos="420"/>
        </w:tabs>
        <w:jc w:val="both"/>
        <w:rPr>
          <w:szCs w:val="22"/>
        </w:rPr>
      </w:pPr>
      <w:r>
        <w:rPr>
          <w:rFonts w:hint="eastAsia"/>
          <w:szCs w:val="22"/>
        </w:rPr>
        <w:t>输出频率：50/60±0.1Hz；</w:t>
      </w:r>
    </w:p>
    <w:p>
      <w:pPr>
        <w:widowControl w:val="0"/>
        <w:numPr>
          <w:ilvl w:val="0"/>
          <w:numId w:val="1"/>
        </w:numPr>
        <w:tabs>
          <w:tab w:val="left" w:pos="420"/>
        </w:tabs>
        <w:jc w:val="both"/>
        <w:rPr>
          <w:szCs w:val="22"/>
        </w:rPr>
      </w:pPr>
      <w:r>
        <w:rPr>
          <w:rFonts w:hint="eastAsia"/>
          <w:szCs w:val="22"/>
        </w:rPr>
        <w:t>旁路在跟踪范围之内与逆变器之间的同步转换：0毫秒；</w:t>
      </w:r>
    </w:p>
    <w:p>
      <w:pPr>
        <w:widowControl w:val="0"/>
        <w:numPr>
          <w:ilvl w:val="0"/>
          <w:numId w:val="1"/>
        </w:numPr>
        <w:tabs>
          <w:tab w:val="left" w:pos="420"/>
        </w:tabs>
        <w:jc w:val="both"/>
        <w:rPr>
          <w:szCs w:val="22"/>
        </w:rPr>
      </w:pPr>
      <w:r>
        <w:rPr>
          <w:rFonts w:hint="eastAsia"/>
          <w:szCs w:val="22"/>
        </w:rPr>
        <w:t>逆变器过载能力：市电：100%~110%: 30 分钟；110%~130%: 5 分钟；&gt;130% : 10 秒过载后，转旁路,电池：100%~110%:3 分钟；110%~130%: 30 秒；&gt;130% : 10 秒过载后，转旁路；</w:t>
      </w:r>
    </w:p>
    <w:p>
      <w:pPr>
        <w:widowControl w:val="0"/>
        <w:numPr>
          <w:ilvl w:val="0"/>
          <w:numId w:val="1"/>
        </w:numPr>
        <w:tabs>
          <w:tab w:val="left" w:pos="420"/>
        </w:tabs>
        <w:jc w:val="both"/>
        <w:rPr>
          <w:szCs w:val="22"/>
        </w:rPr>
      </w:pPr>
      <w:r>
        <w:rPr>
          <w:rFonts w:hint="eastAsia"/>
          <w:szCs w:val="22"/>
        </w:rPr>
        <w:t>UPS 输出功率因数≧ 0.8；</w:t>
      </w:r>
    </w:p>
    <w:p>
      <w:pPr>
        <w:widowControl w:val="0"/>
        <w:numPr>
          <w:ilvl w:val="0"/>
          <w:numId w:val="1"/>
        </w:numPr>
        <w:tabs>
          <w:tab w:val="left" w:pos="420"/>
        </w:tabs>
        <w:jc w:val="both"/>
        <w:rPr>
          <w:szCs w:val="22"/>
        </w:rPr>
      </w:pPr>
      <w:r>
        <w:rPr>
          <w:rFonts w:hint="eastAsia"/>
          <w:szCs w:val="22"/>
        </w:rPr>
        <w:t>工作温度0 ~ 40°C；</w:t>
      </w:r>
    </w:p>
    <w:p>
      <w:pPr>
        <w:widowControl w:val="0"/>
        <w:numPr>
          <w:ilvl w:val="0"/>
          <w:numId w:val="1"/>
        </w:numPr>
        <w:tabs>
          <w:tab w:val="left" w:pos="420"/>
        </w:tabs>
        <w:jc w:val="both"/>
        <w:rPr>
          <w:szCs w:val="22"/>
        </w:rPr>
      </w:pPr>
      <w:r>
        <w:rPr>
          <w:rFonts w:hint="eastAsia"/>
          <w:szCs w:val="22"/>
        </w:rPr>
        <w:t>UPS标配RS232通信接口</w:t>
      </w:r>
      <w:r>
        <w:rPr>
          <w:rFonts w:hint="eastAsia"/>
          <w:szCs w:val="22"/>
          <w:lang w:eastAsia="zh-CN"/>
        </w:rPr>
        <w:t>，</w:t>
      </w:r>
      <w:r>
        <w:rPr>
          <w:rFonts w:hint="eastAsia"/>
          <w:szCs w:val="22"/>
        </w:rPr>
        <w:t>UPS具有远程在线自诊断，故障音响报警，远方监视控制功能。提供电源管理软件可以在主流操作系统下运行，通过网络监视UPS系统的运行状况，并具备短信报警功能，监控软件应能支持虚拟机操作。</w:t>
      </w:r>
    </w:p>
    <w:p>
      <w:pPr>
        <w:widowControl w:val="0"/>
        <w:numPr>
          <w:ilvl w:val="0"/>
          <w:numId w:val="1"/>
        </w:numPr>
        <w:tabs>
          <w:tab w:val="left" w:pos="420"/>
        </w:tabs>
        <w:jc w:val="both"/>
        <w:rPr>
          <w:szCs w:val="22"/>
        </w:rPr>
      </w:pPr>
      <w:r>
        <w:rPr>
          <w:rFonts w:hint="eastAsia"/>
          <w:szCs w:val="22"/>
          <w:lang w:eastAsia="zh-CN"/>
        </w:rPr>
        <w:t>可具备兼容第三方软件动环监控系统。</w:t>
      </w:r>
    </w:p>
    <w:p>
      <w:pPr>
        <w:widowControl w:val="0"/>
        <w:numPr>
          <w:ilvl w:val="0"/>
          <w:numId w:val="1"/>
        </w:numPr>
        <w:tabs>
          <w:tab w:val="left" w:pos="420"/>
        </w:tabs>
        <w:jc w:val="both"/>
        <w:rPr>
          <w:szCs w:val="22"/>
        </w:rPr>
      </w:pPr>
      <w:r>
        <w:rPr>
          <w:rFonts w:hint="eastAsia"/>
          <w:szCs w:val="22"/>
        </w:rPr>
        <w:t>具备和医院现有设备的多个不同品牌的UPS实现并机的功能</w:t>
      </w:r>
      <w:r>
        <w:rPr>
          <w:rFonts w:hint="eastAsia"/>
          <w:szCs w:val="22"/>
          <w:lang w:eastAsia="zh-CN"/>
        </w:rPr>
        <w:t>。</w:t>
      </w:r>
    </w:p>
    <w:p>
      <w:pPr>
        <w:numPr>
          <w:ilvl w:val="0"/>
          <w:numId w:val="0"/>
        </w:numPr>
        <w:rPr>
          <w:rFonts w:hint="eastAsia"/>
          <w:szCs w:val="22"/>
          <w:lang w:eastAsia="zh-CN"/>
        </w:rPr>
      </w:pPr>
    </w:p>
    <w:p>
      <w:pPr>
        <w:numPr>
          <w:ilvl w:val="0"/>
          <w:numId w:val="0"/>
        </w:numPr>
        <w:rPr>
          <w:rFonts w:hint="eastAsia"/>
          <w:b/>
          <w:bCs/>
          <w:lang w:val="en-US" w:eastAsia="zh-CN"/>
        </w:rPr>
      </w:pPr>
      <w:r>
        <w:rPr>
          <w:rFonts w:hint="eastAsia"/>
          <w:szCs w:val="22"/>
          <w:lang w:eastAsia="zh-CN"/>
        </w:rPr>
        <w:t>（</w:t>
      </w:r>
      <w:r>
        <w:rPr>
          <w:rFonts w:hint="eastAsia"/>
          <w:szCs w:val="22"/>
          <w:lang w:val="en-US" w:eastAsia="zh-CN"/>
        </w:rPr>
        <w:t>二</w:t>
      </w:r>
      <w:r>
        <w:rPr>
          <w:rFonts w:hint="eastAsia"/>
          <w:szCs w:val="22"/>
          <w:lang w:eastAsia="zh-CN"/>
        </w:rPr>
        <w:t>）</w:t>
      </w:r>
      <w:r>
        <w:rPr>
          <w:rFonts w:hint="eastAsia"/>
          <w:szCs w:val="22"/>
          <w:lang w:val="en-US" w:eastAsia="zh-CN"/>
        </w:rPr>
        <w:t>2</w:t>
      </w:r>
      <w:r>
        <w:rPr>
          <w:rFonts w:hint="eastAsia" w:ascii="Times New Roman" w:eastAsia="宋体"/>
          <w:b/>
          <w:bCs/>
          <w:lang w:val="en-US" w:eastAsia="zh-CN"/>
        </w:rPr>
        <w:t>0K UPS</w:t>
      </w:r>
    </w:p>
    <w:p>
      <w:pPr>
        <w:widowControl w:val="0"/>
        <w:numPr>
          <w:ilvl w:val="0"/>
          <w:numId w:val="2"/>
        </w:numPr>
        <w:tabs>
          <w:tab w:val="left" w:pos="420"/>
        </w:tabs>
        <w:jc w:val="both"/>
        <w:rPr>
          <w:szCs w:val="22"/>
        </w:rPr>
      </w:pPr>
      <w:r>
        <w:rPr>
          <w:rFonts w:hint="eastAsia"/>
          <w:szCs w:val="22"/>
        </w:rPr>
        <w:t>额定容量</w:t>
      </w:r>
      <w:r>
        <w:rPr>
          <w:rFonts w:hint="eastAsia" w:ascii="宋体" w:hAnsi="宋体"/>
          <w:szCs w:val="22"/>
        </w:rPr>
        <w:t>≧</w:t>
      </w:r>
      <w:r>
        <w:rPr>
          <w:rFonts w:hint="eastAsia"/>
          <w:szCs w:val="22"/>
        </w:rPr>
        <w:t>20KVA；</w:t>
      </w:r>
    </w:p>
    <w:p>
      <w:pPr>
        <w:widowControl w:val="0"/>
        <w:numPr>
          <w:ilvl w:val="0"/>
          <w:numId w:val="2"/>
        </w:numPr>
        <w:tabs>
          <w:tab w:val="left" w:pos="420"/>
        </w:tabs>
        <w:jc w:val="both"/>
        <w:rPr>
          <w:szCs w:val="22"/>
        </w:rPr>
      </w:pPr>
      <w:r>
        <w:rPr>
          <w:rFonts w:hint="eastAsia"/>
          <w:szCs w:val="22"/>
        </w:rPr>
        <w:t>具备直流启动功能；</w:t>
      </w:r>
    </w:p>
    <w:p>
      <w:pPr>
        <w:widowControl w:val="0"/>
        <w:numPr>
          <w:ilvl w:val="0"/>
          <w:numId w:val="2"/>
        </w:numPr>
        <w:tabs>
          <w:tab w:val="left" w:pos="420"/>
        </w:tabs>
        <w:jc w:val="both"/>
        <w:rPr>
          <w:szCs w:val="22"/>
        </w:rPr>
      </w:pPr>
      <w:r>
        <w:rPr>
          <w:rFonts w:hint="eastAsia"/>
          <w:szCs w:val="22"/>
        </w:rPr>
        <w:t>输入电压：</w:t>
      </w:r>
      <w:r>
        <w:rPr>
          <w:szCs w:val="22"/>
        </w:rPr>
        <w:t>305-478VAC</w:t>
      </w:r>
      <w:r>
        <w:rPr>
          <w:rFonts w:hint="eastAsia"/>
          <w:szCs w:val="22"/>
        </w:rPr>
        <w:t>；</w:t>
      </w:r>
    </w:p>
    <w:p>
      <w:pPr>
        <w:widowControl w:val="0"/>
        <w:numPr>
          <w:ilvl w:val="0"/>
          <w:numId w:val="2"/>
        </w:numPr>
        <w:tabs>
          <w:tab w:val="left" w:pos="420"/>
        </w:tabs>
        <w:jc w:val="both"/>
        <w:rPr>
          <w:szCs w:val="22"/>
        </w:rPr>
      </w:pPr>
      <w:r>
        <w:rPr>
          <w:rFonts w:hint="eastAsia"/>
          <w:szCs w:val="22"/>
        </w:rPr>
        <w:t>输入频率范围：4</w:t>
      </w:r>
      <w:r>
        <w:rPr>
          <w:szCs w:val="22"/>
        </w:rPr>
        <w:t>6</w:t>
      </w:r>
      <w:r>
        <w:rPr>
          <w:rFonts w:hint="eastAsia"/>
          <w:szCs w:val="22"/>
        </w:rPr>
        <w:t>~</w:t>
      </w:r>
      <w:r>
        <w:rPr>
          <w:szCs w:val="22"/>
        </w:rPr>
        <w:t>54</w:t>
      </w:r>
      <w:r>
        <w:rPr>
          <w:rFonts w:hint="eastAsia"/>
          <w:szCs w:val="22"/>
        </w:rPr>
        <w:t>Hz；</w:t>
      </w:r>
    </w:p>
    <w:p>
      <w:pPr>
        <w:widowControl w:val="0"/>
        <w:numPr>
          <w:ilvl w:val="0"/>
          <w:numId w:val="2"/>
        </w:numPr>
        <w:tabs>
          <w:tab w:val="left" w:pos="420"/>
        </w:tabs>
        <w:jc w:val="both"/>
        <w:rPr>
          <w:szCs w:val="22"/>
        </w:rPr>
      </w:pPr>
      <w:r>
        <w:rPr>
          <w:rFonts w:hint="eastAsia"/>
          <w:szCs w:val="22"/>
        </w:rPr>
        <w:t>输入功率因素≥0.99，市电：整机效率≧</w:t>
      </w:r>
      <w:r>
        <w:rPr>
          <w:szCs w:val="22"/>
        </w:rPr>
        <w:t>89</w:t>
      </w:r>
      <w:r>
        <w:rPr>
          <w:rFonts w:hint="eastAsia"/>
          <w:szCs w:val="22"/>
        </w:rPr>
        <w:t>%；</w:t>
      </w:r>
    </w:p>
    <w:p>
      <w:pPr>
        <w:widowControl w:val="0"/>
        <w:numPr>
          <w:ilvl w:val="0"/>
          <w:numId w:val="2"/>
        </w:numPr>
        <w:tabs>
          <w:tab w:val="left" w:pos="420"/>
        </w:tabs>
        <w:jc w:val="both"/>
        <w:rPr>
          <w:szCs w:val="22"/>
        </w:rPr>
      </w:pPr>
      <w:r>
        <w:rPr>
          <w:rFonts w:hint="eastAsia"/>
          <w:szCs w:val="22"/>
        </w:rPr>
        <w:t>输出电压为</w:t>
      </w:r>
      <w:r>
        <w:rPr>
          <w:szCs w:val="22"/>
        </w:rPr>
        <w:t>208/220/230/240VAC</w:t>
      </w:r>
    </w:p>
    <w:p>
      <w:pPr>
        <w:widowControl w:val="0"/>
        <w:numPr>
          <w:ilvl w:val="0"/>
          <w:numId w:val="2"/>
        </w:numPr>
        <w:tabs>
          <w:tab w:val="left" w:pos="420"/>
        </w:tabs>
        <w:jc w:val="both"/>
        <w:rPr>
          <w:szCs w:val="22"/>
        </w:rPr>
      </w:pPr>
      <w:r>
        <w:rPr>
          <w:rFonts w:hint="eastAsia"/>
          <w:szCs w:val="22"/>
        </w:rPr>
        <w:t>输出谐波失真：≤</w:t>
      </w:r>
      <w:r>
        <w:rPr>
          <w:szCs w:val="22"/>
        </w:rPr>
        <w:t>3</w:t>
      </w:r>
      <w:r>
        <w:rPr>
          <w:rFonts w:hint="eastAsia"/>
          <w:szCs w:val="22"/>
        </w:rPr>
        <w:t>%(线性负载)，≤</w:t>
      </w:r>
      <w:r>
        <w:rPr>
          <w:szCs w:val="22"/>
        </w:rPr>
        <w:t>5</w:t>
      </w:r>
      <w:r>
        <w:rPr>
          <w:rFonts w:hint="eastAsia"/>
          <w:szCs w:val="22"/>
        </w:rPr>
        <w:t>%（非线性负载）；</w:t>
      </w:r>
    </w:p>
    <w:p>
      <w:pPr>
        <w:widowControl w:val="0"/>
        <w:numPr>
          <w:ilvl w:val="0"/>
          <w:numId w:val="2"/>
        </w:numPr>
        <w:tabs>
          <w:tab w:val="left" w:pos="420"/>
        </w:tabs>
        <w:jc w:val="both"/>
        <w:rPr>
          <w:szCs w:val="22"/>
        </w:rPr>
      </w:pPr>
      <w:r>
        <w:rPr>
          <w:rFonts w:hint="eastAsia"/>
          <w:szCs w:val="22"/>
        </w:rPr>
        <w:t>电压稳定度：±1%</w:t>
      </w:r>
    </w:p>
    <w:p>
      <w:pPr>
        <w:widowControl w:val="0"/>
        <w:numPr>
          <w:ilvl w:val="0"/>
          <w:numId w:val="2"/>
        </w:numPr>
        <w:tabs>
          <w:tab w:val="left" w:pos="420"/>
        </w:tabs>
        <w:jc w:val="both"/>
        <w:rPr>
          <w:szCs w:val="22"/>
        </w:rPr>
      </w:pPr>
      <w:r>
        <w:rPr>
          <w:rFonts w:hint="eastAsia"/>
          <w:szCs w:val="22"/>
        </w:rPr>
        <w:t>输出频率：50/60±0.1Hz；</w:t>
      </w:r>
    </w:p>
    <w:p>
      <w:pPr>
        <w:widowControl w:val="0"/>
        <w:numPr>
          <w:ilvl w:val="0"/>
          <w:numId w:val="2"/>
        </w:numPr>
        <w:tabs>
          <w:tab w:val="left" w:pos="420"/>
        </w:tabs>
        <w:jc w:val="both"/>
        <w:rPr>
          <w:szCs w:val="22"/>
        </w:rPr>
      </w:pPr>
      <w:r>
        <w:rPr>
          <w:rFonts w:hint="eastAsia"/>
          <w:szCs w:val="22"/>
        </w:rPr>
        <w:t>旁路在跟踪范围之内与逆变器之间的同步转换：0毫秒；</w:t>
      </w:r>
    </w:p>
    <w:p>
      <w:pPr>
        <w:widowControl w:val="0"/>
        <w:numPr>
          <w:ilvl w:val="0"/>
          <w:numId w:val="2"/>
        </w:numPr>
        <w:tabs>
          <w:tab w:val="left" w:pos="420"/>
        </w:tabs>
        <w:jc w:val="both"/>
        <w:rPr>
          <w:szCs w:val="22"/>
        </w:rPr>
      </w:pPr>
      <w:r>
        <w:rPr>
          <w:rFonts w:hint="eastAsia"/>
          <w:szCs w:val="22"/>
        </w:rPr>
        <w:t xml:space="preserve">逆变器过载能力：100-110% </w:t>
      </w:r>
      <w:r>
        <w:rPr>
          <w:szCs w:val="22"/>
        </w:rPr>
        <w:t>1</w:t>
      </w:r>
      <w:r>
        <w:rPr>
          <w:rFonts w:hint="eastAsia"/>
          <w:szCs w:val="22"/>
        </w:rPr>
        <w:t>0 分钟，111-1</w:t>
      </w:r>
      <w:r>
        <w:rPr>
          <w:szCs w:val="22"/>
        </w:rPr>
        <w:t>30</w:t>
      </w:r>
      <w:r>
        <w:rPr>
          <w:rFonts w:hint="eastAsia"/>
          <w:szCs w:val="22"/>
        </w:rPr>
        <w:t>% 1 分钟，&gt;1</w:t>
      </w:r>
      <w:r>
        <w:rPr>
          <w:szCs w:val="22"/>
        </w:rPr>
        <w:t>3</w:t>
      </w:r>
      <w:r>
        <w:rPr>
          <w:rFonts w:hint="eastAsia"/>
          <w:szCs w:val="22"/>
        </w:rPr>
        <w:t>0%1 秒过载后，转旁路；</w:t>
      </w:r>
    </w:p>
    <w:p>
      <w:pPr>
        <w:widowControl w:val="0"/>
        <w:numPr>
          <w:ilvl w:val="0"/>
          <w:numId w:val="2"/>
        </w:numPr>
        <w:tabs>
          <w:tab w:val="left" w:pos="420"/>
        </w:tabs>
        <w:jc w:val="both"/>
        <w:rPr>
          <w:szCs w:val="22"/>
        </w:rPr>
      </w:pPr>
      <w:r>
        <w:rPr>
          <w:rFonts w:hint="eastAsia"/>
          <w:szCs w:val="22"/>
        </w:rPr>
        <w:t>工作温度0 ~ 40°C；</w:t>
      </w:r>
    </w:p>
    <w:p>
      <w:pPr>
        <w:widowControl w:val="0"/>
        <w:numPr>
          <w:ilvl w:val="0"/>
          <w:numId w:val="2"/>
        </w:numPr>
        <w:tabs>
          <w:tab w:val="left" w:pos="420"/>
        </w:tabs>
        <w:jc w:val="both"/>
        <w:rPr>
          <w:szCs w:val="22"/>
        </w:rPr>
      </w:pPr>
      <w:r>
        <w:rPr>
          <w:rFonts w:hint="eastAsia"/>
          <w:szCs w:val="22"/>
        </w:rPr>
        <w:t>UPS标配RS232通信接口；UPS具有远程在线自诊断，故障音响报警，远方监视控制功能。提供电源管理软件可以在主流操作系统下运行，通过网络监视UPS系统的运行状况，并具备短信报警功能，监控软件应能支持虚拟机操作。</w:t>
      </w:r>
    </w:p>
    <w:p>
      <w:pPr>
        <w:widowControl w:val="0"/>
        <w:numPr>
          <w:ilvl w:val="0"/>
          <w:numId w:val="2"/>
        </w:numPr>
        <w:tabs>
          <w:tab w:val="left" w:pos="420"/>
        </w:tabs>
        <w:jc w:val="both"/>
        <w:rPr>
          <w:szCs w:val="22"/>
        </w:rPr>
      </w:pPr>
      <w:r>
        <w:rPr>
          <w:rFonts w:hint="eastAsia"/>
          <w:szCs w:val="22"/>
          <w:lang w:eastAsia="zh-CN"/>
        </w:rPr>
        <w:t>可具备兼容第三方软件动环监控系统。</w:t>
      </w:r>
    </w:p>
    <w:p>
      <w:pPr>
        <w:widowControl w:val="0"/>
        <w:numPr>
          <w:ilvl w:val="0"/>
          <w:numId w:val="2"/>
        </w:numPr>
        <w:tabs>
          <w:tab w:val="left" w:pos="420"/>
        </w:tabs>
        <w:jc w:val="both"/>
        <w:rPr>
          <w:rFonts w:hint="default" w:ascii="宋体" w:hAnsi="宋体" w:cs="Arial"/>
          <w:lang w:val="en-US" w:eastAsia="zh-CN"/>
        </w:rPr>
      </w:pPr>
      <w:r>
        <w:rPr>
          <w:rFonts w:hint="eastAsia"/>
          <w:szCs w:val="22"/>
        </w:rPr>
        <w:t>具备和医院现在有设备的多个不同品牌的UPS实现并机的功能</w:t>
      </w:r>
      <w:r>
        <w:rPr>
          <w:rFonts w:hint="eastAsia"/>
          <w:szCs w:val="22"/>
          <w:lang w:eastAsia="zh-CN"/>
        </w:rPr>
        <w:t>。</w:t>
      </w:r>
    </w:p>
    <w:p>
      <w:pPr>
        <w:widowControl w:val="0"/>
        <w:numPr>
          <w:ilvl w:val="0"/>
          <w:numId w:val="0"/>
        </w:numPr>
        <w:tabs>
          <w:tab w:val="left" w:pos="420"/>
        </w:tabs>
        <w:ind w:leftChars="0"/>
        <w:jc w:val="both"/>
        <w:rPr>
          <w:rFonts w:hint="eastAsia"/>
          <w:szCs w:val="22"/>
          <w:lang w:eastAsia="zh-CN"/>
        </w:rPr>
      </w:pPr>
    </w:p>
    <w:p>
      <w:pPr>
        <w:numPr>
          <w:ilvl w:val="0"/>
          <w:numId w:val="0"/>
        </w:numPr>
        <w:rPr>
          <w:rFonts w:hint="eastAsia"/>
          <w:szCs w:val="22"/>
          <w:lang w:val="en-US" w:eastAsia="zh-CN"/>
        </w:rPr>
      </w:pPr>
      <w:r>
        <w:rPr>
          <w:rFonts w:hint="eastAsia"/>
          <w:b/>
          <w:bCs/>
          <w:szCs w:val="22"/>
          <w:lang w:val="en-US" w:eastAsia="zh-CN"/>
        </w:rPr>
        <w:t>四、其他要求</w:t>
      </w:r>
      <w:bookmarkStart w:id="0" w:name="_GoBack"/>
      <w:bookmarkEnd w:id="0"/>
    </w:p>
    <w:p>
      <w:pPr>
        <w:widowControl w:val="0"/>
        <w:numPr>
          <w:ilvl w:val="0"/>
          <w:numId w:val="0"/>
        </w:numPr>
        <w:tabs>
          <w:tab w:val="left" w:pos="420"/>
        </w:tabs>
        <w:jc w:val="both"/>
        <w:rPr>
          <w:rFonts w:hint="eastAsia"/>
          <w:szCs w:val="22"/>
          <w:lang w:val="en-US" w:eastAsia="zh-CN"/>
        </w:rPr>
      </w:pPr>
      <w:r>
        <w:rPr>
          <w:rFonts w:hint="eastAsia"/>
          <w:szCs w:val="22"/>
          <w:lang w:val="en-US" w:eastAsia="zh-CN"/>
        </w:rPr>
        <w:t>★1、保修期及维修响应：整机(含所有零配件)原厂保修期≥3年，自用户验收合格之日起计，支持正版软件终身升级</w:t>
      </w:r>
      <w:r>
        <w:rPr>
          <w:rFonts w:hint="eastAsia" w:ascii="Times New Roman" w:eastAsia="宋体"/>
          <w:szCs w:val="22"/>
          <w:lang w:val="en-US" w:eastAsia="zh-CN"/>
        </w:rPr>
        <w:t>，所有</w:t>
      </w:r>
      <w:r>
        <w:rPr>
          <w:rFonts w:hint="eastAsia"/>
          <w:szCs w:val="22"/>
          <w:lang w:val="en-US" w:eastAsia="zh-CN"/>
        </w:rPr>
        <w:t>费用</w:t>
      </w:r>
      <w:r>
        <w:rPr>
          <w:rFonts w:hint="eastAsia" w:ascii="Times New Roman" w:eastAsia="宋体"/>
          <w:szCs w:val="22"/>
          <w:lang w:val="en-US" w:eastAsia="zh-CN"/>
        </w:rPr>
        <w:t>均已包含在报价中</w:t>
      </w:r>
      <w:r>
        <w:rPr>
          <w:rFonts w:hint="eastAsia"/>
          <w:szCs w:val="22"/>
          <w:lang w:val="en-US" w:eastAsia="zh-CN"/>
        </w:rPr>
        <w:t>；保修期内，售后服务单位接到用户设备报修通知后，2小时内电话回复处理意见，12小时内现场维修，≤72小时内修复，若无法修复，则自取走故障件之日起，3个工作日内提供备品以保证业务正常开展，若无法按时修复或如期提供备品造成停机，则按1:7延长保修期(即停机1天，延长保修期7天)，30天若完全不能修复则由中标人更换同款整机，所有费用均已包含在报价中；</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2、安装培训要求：设备到货，接用户通知后7天内由厂家培训合格的工程师上门安装，并负责现场培训招标人操作人员至少5名，直至掌握正确使用及日常保养方法（</w:t>
      </w:r>
      <w:r>
        <w:rPr>
          <w:rFonts w:hint="eastAsia" w:ascii="Times New Roman" w:eastAsia="宋体"/>
          <w:szCs w:val="22"/>
          <w:lang w:val="en-US" w:eastAsia="zh-CN"/>
        </w:rPr>
        <w:t>所有</w:t>
      </w:r>
      <w:r>
        <w:rPr>
          <w:rFonts w:hint="eastAsia"/>
          <w:szCs w:val="22"/>
          <w:lang w:val="en-US" w:eastAsia="zh-CN"/>
        </w:rPr>
        <w:t>费用</w:t>
      </w:r>
      <w:r>
        <w:rPr>
          <w:rFonts w:hint="eastAsia" w:ascii="Times New Roman" w:eastAsia="宋体"/>
          <w:szCs w:val="22"/>
          <w:lang w:val="en-US" w:eastAsia="zh-CN"/>
        </w:rPr>
        <w:t>均已包含在报价中</w:t>
      </w:r>
      <w:r>
        <w:rPr>
          <w:rFonts w:hint="eastAsia"/>
          <w:szCs w:val="22"/>
          <w:lang w:val="en-US" w:eastAsia="zh-CN"/>
        </w:rPr>
        <w:t>），详细填写《省妇幼医学装备培训记录表》，培训资料留存使用科室。</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3、列出设备易损配件的最优惠供应单价，作为评标及日后采购参考。进口货物检验合格的出厂日期与实际到货日期间隔不超过壹年，国产货物检验合格的出厂日期与实际到货日期间隔不超过半年。</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4、售后服务：提供厂家售后服务承诺书(盖厂家公章)，为保证设备正常运行，设备生产商应在中国境内方便的地方设置备件库，存入所有必须的备件，并保证5年以上的供应期，并提供安装工程师名单和国内维修电话。保修期内至少每季度按厂家标准做一次全面保养</w:t>
      </w:r>
      <w:r>
        <w:rPr>
          <w:rFonts w:hint="eastAsia" w:ascii="Times New Roman" w:eastAsia="宋体"/>
          <w:szCs w:val="22"/>
          <w:lang w:val="en-US" w:eastAsia="zh-CN"/>
        </w:rPr>
        <w:t>（所有费用均已包含在报价中）</w:t>
      </w:r>
      <w:r>
        <w:rPr>
          <w:rFonts w:hint="eastAsia"/>
          <w:szCs w:val="22"/>
          <w:lang w:val="en-US" w:eastAsia="zh-CN"/>
        </w:rPr>
        <w:t>。</w:t>
      </w:r>
    </w:p>
    <w:p>
      <w:pPr>
        <w:widowControl w:val="0"/>
        <w:numPr>
          <w:ilvl w:val="0"/>
          <w:numId w:val="0"/>
        </w:numPr>
        <w:tabs>
          <w:tab w:val="left" w:pos="420"/>
        </w:tabs>
        <w:jc w:val="both"/>
        <w:rPr>
          <w:rFonts w:hint="eastAsia"/>
          <w:szCs w:val="22"/>
          <w:lang w:val="en-US" w:eastAsia="zh-CN"/>
        </w:rPr>
      </w:pPr>
    </w:p>
    <w:p>
      <w:pPr>
        <w:widowControl w:val="0"/>
        <w:numPr>
          <w:ilvl w:val="0"/>
          <w:numId w:val="0"/>
        </w:numPr>
        <w:tabs>
          <w:tab w:val="left" w:pos="420"/>
        </w:tabs>
        <w:jc w:val="both"/>
        <w:rPr>
          <w:rFonts w:hint="eastAsia"/>
          <w:b/>
          <w:bCs/>
          <w:szCs w:val="22"/>
          <w:lang w:val="en-US" w:eastAsia="zh-CN"/>
        </w:rPr>
      </w:pPr>
      <w:r>
        <w:rPr>
          <w:rFonts w:hint="eastAsia"/>
          <w:b/>
          <w:bCs/>
          <w:szCs w:val="22"/>
          <w:lang w:val="en-US" w:eastAsia="zh-CN"/>
        </w:rPr>
        <w:t>五、验收要求</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1、交付验收标准依次序对照适用标准为：①符合中华人民共和国国家安全质量标准、环保标准或行业标准；②符合招标文件和响应承诺中采购人认可的合理最佳配置、参数及各项要求；③货物来源国官方标准。</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2、进口产品必须具备原产地证明和商检局的检验证明及合法进货渠道证明。</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3、货物为原厂商未启封全新包装，具出厂合格证，序列号、包装箱号与出厂批号一致，并可追索查阅。所有随设备的附件必须齐全。</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4、中标人应将关键主机设备的用户手册、保修手册、有关单证资料及配备件、随机工具等交付给采购人，使用操作及安全须知等重要资料应附有中文说明。</w:t>
      </w:r>
    </w:p>
    <w:p>
      <w:pPr>
        <w:widowControl w:val="0"/>
        <w:numPr>
          <w:ilvl w:val="0"/>
          <w:numId w:val="0"/>
        </w:numPr>
        <w:tabs>
          <w:tab w:val="left" w:pos="420"/>
        </w:tabs>
        <w:jc w:val="both"/>
        <w:rPr>
          <w:rFonts w:hint="eastAsia"/>
          <w:szCs w:val="22"/>
          <w:lang w:val="en-US" w:eastAsia="zh-CN"/>
        </w:rPr>
      </w:pPr>
      <w:r>
        <w:rPr>
          <w:rFonts w:hint="eastAsia"/>
          <w:szCs w:val="22"/>
          <w:lang w:val="en-US" w:eastAsia="zh-CN"/>
        </w:rPr>
        <w:t>5、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ZLTHJW--GB1-0-Identity-H">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7A5BC"/>
    <w:multiLevelType w:val="singleLevel"/>
    <w:tmpl w:val="8CC7A5BC"/>
    <w:lvl w:ilvl="0" w:tentative="0">
      <w:start w:val="1"/>
      <w:numFmt w:val="decimal"/>
      <w:lvlText w:val="%1."/>
      <w:lvlJc w:val="left"/>
      <w:pPr>
        <w:ind w:left="425" w:hanging="425"/>
      </w:pPr>
      <w:rPr>
        <w:rFonts w:hint="default"/>
      </w:rPr>
    </w:lvl>
  </w:abstractNum>
  <w:abstractNum w:abstractNumId="1">
    <w:nsid w:val="2A994968"/>
    <w:multiLevelType w:val="singleLevel"/>
    <w:tmpl w:val="2A994968"/>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NTkwOWZkOTZiMDJiYjk5ODFlZDY2OGI5ZGExOWYifQ=="/>
  </w:docVars>
  <w:rsids>
    <w:rsidRoot w:val="00E96DAE"/>
    <w:rsid w:val="000343E2"/>
    <w:rsid w:val="00057F16"/>
    <w:rsid w:val="000F14FD"/>
    <w:rsid w:val="001D2A57"/>
    <w:rsid w:val="002156DE"/>
    <w:rsid w:val="00265232"/>
    <w:rsid w:val="00337962"/>
    <w:rsid w:val="00350D27"/>
    <w:rsid w:val="0038737F"/>
    <w:rsid w:val="006952DD"/>
    <w:rsid w:val="00857ED2"/>
    <w:rsid w:val="00A34E5E"/>
    <w:rsid w:val="00B37ECA"/>
    <w:rsid w:val="00CF76E8"/>
    <w:rsid w:val="00E42B65"/>
    <w:rsid w:val="00E96DAE"/>
    <w:rsid w:val="00EE46B1"/>
    <w:rsid w:val="00F94ADB"/>
    <w:rsid w:val="00FC09FE"/>
    <w:rsid w:val="05A569BF"/>
    <w:rsid w:val="07FB7C3E"/>
    <w:rsid w:val="0DBB5D95"/>
    <w:rsid w:val="15F71ACE"/>
    <w:rsid w:val="289F5676"/>
    <w:rsid w:val="2E631F0A"/>
    <w:rsid w:val="33D97ECE"/>
    <w:rsid w:val="39087C40"/>
    <w:rsid w:val="3FB665BE"/>
    <w:rsid w:val="40A11248"/>
    <w:rsid w:val="40C02286"/>
    <w:rsid w:val="47913E03"/>
    <w:rsid w:val="591438D2"/>
    <w:rsid w:val="59243595"/>
    <w:rsid w:val="59ED7AEE"/>
    <w:rsid w:val="5C1116AB"/>
    <w:rsid w:val="5CF3789D"/>
    <w:rsid w:val="5F2F7F39"/>
    <w:rsid w:val="6005543F"/>
    <w:rsid w:val="6359774B"/>
    <w:rsid w:val="6744285D"/>
    <w:rsid w:val="68592C49"/>
    <w:rsid w:val="6887419E"/>
    <w:rsid w:val="69D96E6D"/>
    <w:rsid w:val="6DBC12BD"/>
    <w:rsid w:val="764F6BBC"/>
    <w:rsid w:val="7BE57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420"/>
    </w:pPr>
    <w:rPr>
      <w:rFonts w:ascii="Times New Roman" w:hAnsi="Times New Roman" w:eastAsia="宋体" w:cs="宋体"/>
      <w:kern w:val="2"/>
      <w:sz w:val="24"/>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4"/>
    <w:qFormat/>
    <w:uiPriority w:val="0"/>
    <w:pPr>
      <w:keepNext/>
      <w:keepLines/>
      <w:adjustRightInd w:val="0"/>
      <w:ind w:left="240" w:right="240" w:rightChars="100" w:firstLine="0"/>
      <w:outlineLvl w:val="2"/>
    </w:pPr>
    <w:rPr>
      <w:rFonts w:cs="Times New Roman"/>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5"/>
    <w:qFormat/>
    <w:uiPriority w:val="99"/>
    <w:rPr>
      <w:rFonts w:asciiTheme="minorHAnsi" w:hAnsiTheme="minorHAnsi" w:eastAsiaTheme="minorEastAsia"/>
      <w:szCs w:val="22"/>
    </w:rPr>
  </w:style>
  <w:style w:type="paragraph" w:styleId="6">
    <w:name w:val="Balloon Text"/>
    <w:basedOn w:val="1"/>
    <w:link w:val="17"/>
    <w:semiHidden/>
    <w:unhideWhenUsed/>
    <w:qFormat/>
    <w:uiPriority w:val="99"/>
    <w:pPr>
      <w:spacing w:line="240" w:lineRule="auto"/>
    </w:pPr>
    <w:rPr>
      <w:sz w:val="18"/>
      <w:szCs w:val="18"/>
    </w:rPr>
  </w:style>
  <w:style w:type="paragraph" w:styleId="7">
    <w:name w:val="footer"/>
    <w:basedOn w:val="1"/>
    <w:link w:val="13"/>
    <w:unhideWhenUsed/>
    <w:qFormat/>
    <w:uiPriority w:val="99"/>
    <w:pPr>
      <w:tabs>
        <w:tab w:val="center" w:pos="4153"/>
        <w:tab w:val="right" w:pos="8306"/>
      </w:tabs>
      <w:snapToGrid w:val="0"/>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qFormat/>
    <w:uiPriority w:val="99"/>
    <w:rPr>
      <w:sz w:val="21"/>
      <w:szCs w:val="21"/>
    </w:rPr>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99"/>
    <w:rPr>
      <w:sz w:val="18"/>
      <w:szCs w:val="18"/>
    </w:rPr>
  </w:style>
  <w:style w:type="character" w:customStyle="1" w:styleId="14">
    <w:name w:val="标题 3 Char"/>
    <w:basedOn w:val="10"/>
    <w:link w:val="4"/>
    <w:qFormat/>
    <w:uiPriority w:val="0"/>
    <w:rPr>
      <w:rFonts w:ascii="Times New Roman" w:hAnsi="Times New Roman" w:eastAsia="宋体" w:cs="Times New Roman"/>
      <w:b/>
      <w:bCs/>
      <w:sz w:val="24"/>
      <w:szCs w:val="32"/>
    </w:rPr>
  </w:style>
  <w:style w:type="character" w:customStyle="1" w:styleId="15">
    <w:name w:val="批注文字 Char"/>
    <w:link w:val="5"/>
    <w:qFormat/>
    <w:uiPriority w:val="99"/>
    <w:rPr>
      <w:rFonts w:cs="宋体"/>
      <w:sz w:val="24"/>
    </w:rPr>
  </w:style>
  <w:style w:type="character" w:customStyle="1" w:styleId="16">
    <w:name w:val="批注文字 字符1"/>
    <w:basedOn w:val="10"/>
    <w:semiHidden/>
    <w:qFormat/>
    <w:uiPriority w:val="99"/>
    <w:rPr>
      <w:rFonts w:ascii="Times New Roman" w:hAnsi="Times New Roman" w:eastAsia="宋体" w:cs="宋体"/>
      <w:sz w:val="24"/>
      <w:szCs w:val="20"/>
    </w:rPr>
  </w:style>
  <w:style w:type="character" w:customStyle="1" w:styleId="17">
    <w:name w:val="批注框文本 Char"/>
    <w:basedOn w:val="10"/>
    <w:link w:val="6"/>
    <w:semiHidden/>
    <w:qFormat/>
    <w:uiPriority w:val="99"/>
    <w:rPr>
      <w:rFonts w:ascii="Times New Roman" w:hAnsi="Times New Roman" w:eastAsia="宋体" w:cs="宋体"/>
      <w:sz w:val="18"/>
      <w:szCs w:val="18"/>
    </w:rPr>
  </w:style>
  <w:style w:type="character" w:customStyle="1" w:styleId="18">
    <w:name w:val="fontstyle01"/>
    <w:basedOn w:val="10"/>
    <w:qFormat/>
    <w:uiPriority w:val="0"/>
    <w:rPr>
      <w:rFonts w:hint="default" w:ascii="FZLTHJW--GB1-0-Identity-H" w:hAnsi="FZLTHJW--GB1-0-Identity-H"/>
      <w:color w:val="3F3A39"/>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1738</Words>
  <Characters>2102</Characters>
  <Lines>16</Lines>
  <Paragraphs>4</Paragraphs>
  <TotalTime>0</TotalTime>
  <ScaleCrop>false</ScaleCrop>
  <LinksUpToDate>false</LinksUpToDate>
  <CharactersWithSpaces>2150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2023-02-02T10:20:00Z</dcterms:created>
  <dc:creator>l'r'x</dc:creator>
  <cp:lastModifiedBy>潘瑜</cp:lastModifiedBy>
  <dcterms:modified xsi:type="dcterms:W3CDTF">2023-03-09T02:03:25Z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C54B961631634EF38D802665B71B8936</vt:lpwstr>
  </property>
</Properties>
</file>